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C0" w:rsidRPr="00066B8F" w:rsidRDefault="00936CC0" w:rsidP="008B175C">
      <w:pPr>
        <w:autoSpaceDE w:val="0"/>
        <w:autoSpaceDN w:val="0"/>
        <w:adjustRightInd w:val="0"/>
        <w:spacing w:after="0" w:line="240" w:lineRule="auto"/>
        <w:jc w:val="both"/>
        <w:rPr>
          <w:rFonts w:ascii="Times New Roman" w:hAnsi="Times New Roman" w:cs="Times New Roman"/>
          <w:b/>
          <w:iCs/>
        </w:rPr>
      </w:pPr>
      <w:r w:rsidRPr="00066B8F">
        <w:rPr>
          <w:rFonts w:ascii="Times New Roman" w:hAnsi="Times New Roman" w:cs="Times New Roman"/>
          <w:b/>
          <w:iCs/>
        </w:rPr>
        <w:t xml:space="preserve">DĖL PRIEMONĖS „INOGEB LT“ </w:t>
      </w:r>
      <w:r w:rsidR="00253252">
        <w:rPr>
          <w:rFonts w:ascii="Times New Roman" w:hAnsi="Times New Roman" w:cs="Times New Roman"/>
          <w:b/>
          <w:iCs/>
        </w:rPr>
        <w:t xml:space="preserve">PROJEKTŲ FINANSAVIMO SĄLYGŲ </w:t>
      </w:r>
      <w:r w:rsidRPr="00066B8F">
        <w:rPr>
          <w:rFonts w:ascii="Times New Roman" w:hAnsi="Times New Roman" w:cs="Times New Roman"/>
          <w:b/>
          <w:iCs/>
        </w:rPr>
        <w:t>APRAŠYMO PROJEKTO</w:t>
      </w:r>
    </w:p>
    <w:p w:rsidR="00936CC0" w:rsidRPr="00066B8F" w:rsidRDefault="00936CC0" w:rsidP="00202320">
      <w:pPr>
        <w:autoSpaceDE w:val="0"/>
        <w:autoSpaceDN w:val="0"/>
        <w:adjustRightInd w:val="0"/>
        <w:spacing w:after="0" w:line="240" w:lineRule="auto"/>
        <w:jc w:val="both"/>
        <w:rPr>
          <w:rFonts w:ascii="Times New Roman" w:hAnsi="Times New Roman" w:cs="Times New Roman"/>
          <w:i/>
          <w:iCs/>
        </w:rPr>
      </w:pPr>
    </w:p>
    <w:p w:rsidR="00B44C28" w:rsidRPr="00D60E5E" w:rsidRDefault="00FB4A60" w:rsidP="00F01C8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Lietuvos pramonininkų konfederacija, asociacija „Žinių ekonomikos forumas“, Lietuvos inžinerinės ir mašinų pramonės asociacija, Lietuvos lazerių asociacija, </w:t>
      </w:r>
      <w:r w:rsidRPr="00E50F60">
        <w:rPr>
          <w:rFonts w:ascii="Times New Roman" w:hAnsi="Times New Roman" w:cs="Times New Roman"/>
        </w:rPr>
        <w:t>Technologijų ir inovacijų paramos verslui asociacija</w:t>
      </w:r>
      <w:r>
        <w:rPr>
          <w:rFonts w:ascii="Times New Roman" w:hAnsi="Times New Roman" w:cs="Times New Roman"/>
        </w:rPr>
        <w:t>, VšĮ Lietuvos inovacijų centras, i</w:t>
      </w:r>
      <w:r w:rsidR="00936CC0" w:rsidRPr="00066B8F">
        <w:rPr>
          <w:rFonts w:ascii="Times New Roman" w:hAnsi="Times New Roman" w:cs="Times New Roman"/>
          <w:color w:val="000000"/>
        </w:rPr>
        <w:t>šnagrinėj</w:t>
      </w:r>
      <w:r w:rsidR="00CB03DB" w:rsidRPr="00066B8F">
        <w:rPr>
          <w:rFonts w:ascii="Times New Roman" w:hAnsi="Times New Roman" w:cs="Times New Roman"/>
          <w:color w:val="000000"/>
        </w:rPr>
        <w:t>ę</w:t>
      </w:r>
      <w:r w:rsidR="00936CC0" w:rsidRPr="00066B8F">
        <w:rPr>
          <w:rFonts w:ascii="Times New Roman" w:hAnsi="Times New Roman" w:cs="Times New Roman"/>
          <w:color w:val="000000"/>
        </w:rPr>
        <w:t xml:space="preserve"> </w:t>
      </w:r>
      <w:r w:rsidR="00F01C89">
        <w:rPr>
          <w:rFonts w:ascii="Times New Roman" w:hAnsi="Times New Roman" w:cs="Times New Roman"/>
          <w:color w:val="000000"/>
        </w:rPr>
        <w:t>LR Ū</w:t>
      </w:r>
      <w:r w:rsidR="00936CC0" w:rsidRPr="00066B8F">
        <w:rPr>
          <w:rFonts w:ascii="Times New Roman" w:hAnsi="Times New Roman" w:cs="Times New Roman"/>
          <w:color w:val="000000"/>
        </w:rPr>
        <w:t xml:space="preserve">kio ministerijos </w:t>
      </w:r>
      <w:r w:rsidR="00D60E5E" w:rsidRPr="00D60E5E">
        <w:rPr>
          <w:rFonts w:ascii="Times New Roman" w:hAnsi="Times New Roman" w:cs="Times New Roman"/>
          <w:color w:val="000000"/>
        </w:rPr>
        <w:t>2014–2020 metų Europos Sąjungos fondų investicijų veiksmų programos 1 prioriteto „Mokslinių tyrimų, eksperimentinės plėtros ir inovacijų skatinimas“ Nr. 01.2.1-LVPA-V-825</w:t>
      </w:r>
      <w:r w:rsidR="00253252">
        <w:rPr>
          <w:rFonts w:ascii="Times New Roman" w:hAnsi="Times New Roman" w:cs="Times New Roman"/>
          <w:color w:val="000000"/>
        </w:rPr>
        <w:t xml:space="preserve"> </w:t>
      </w:r>
      <w:r w:rsidR="00D60E5E" w:rsidRPr="00D60E5E">
        <w:rPr>
          <w:rFonts w:ascii="Times New Roman" w:hAnsi="Times New Roman" w:cs="Times New Roman"/>
          <w:color w:val="000000"/>
        </w:rPr>
        <w:t>priemonės „</w:t>
      </w:r>
      <w:proofErr w:type="spellStart"/>
      <w:r w:rsidR="00D60E5E" w:rsidRPr="00D60E5E">
        <w:rPr>
          <w:rFonts w:ascii="Times New Roman" w:hAnsi="Times New Roman" w:cs="Times New Roman"/>
          <w:color w:val="000000"/>
        </w:rPr>
        <w:t>Inogeb</w:t>
      </w:r>
      <w:proofErr w:type="spellEnd"/>
      <w:r w:rsidR="00D60E5E" w:rsidRPr="00D60E5E">
        <w:rPr>
          <w:rFonts w:ascii="Times New Roman" w:hAnsi="Times New Roman" w:cs="Times New Roman"/>
          <w:color w:val="000000"/>
        </w:rPr>
        <w:t xml:space="preserve"> LT“ projektų finansavimo sąlygų apraš</w:t>
      </w:r>
      <w:r w:rsidR="00D60E5E">
        <w:rPr>
          <w:rFonts w:ascii="Times New Roman" w:hAnsi="Times New Roman" w:cs="Times New Roman"/>
          <w:color w:val="000000"/>
        </w:rPr>
        <w:t>o</w:t>
      </w:r>
      <w:r w:rsidR="00D60E5E" w:rsidRPr="00D60E5E">
        <w:rPr>
          <w:rFonts w:ascii="Times New Roman" w:hAnsi="Times New Roman" w:cs="Times New Roman"/>
          <w:color w:val="000000"/>
        </w:rPr>
        <w:t xml:space="preserve"> Nr. 1 </w:t>
      </w:r>
      <w:r w:rsidR="00936CC0" w:rsidRPr="00D60E5E">
        <w:rPr>
          <w:rFonts w:ascii="Times New Roman" w:hAnsi="Times New Roman" w:cs="Times New Roman"/>
          <w:color w:val="000000"/>
        </w:rPr>
        <w:t xml:space="preserve"> </w:t>
      </w:r>
      <w:r w:rsidR="00D60E5E">
        <w:rPr>
          <w:rFonts w:ascii="Times New Roman" w:hAnsi="Times New Roman" w:cs="Times New Roman"/>
          <w:color w:val="000000"/>
        </w:rPr>
        <w:t xml:space="preserve">(toliau tekste – PFSA) </w:t>
      </w:r>
      <w:r w:rsidR="00936CC0" w:rsidRPr="00D60E5E">
        <w:rPr>
          <w:rFonts w:ascii="Times New Roman" w:hAnsi="Times New Roman" w:cs="Times New Roman"/>
          <w:color w:val="000000"/>
        </w:rPr>
        <w:t>projektą</w:t>
      </w:r>
      <w:r w:rsidR="00F01C89">
        <w:rPr>
          <w:rFonts w:ascii="Times New Roman" w:hAnsi="Times New Roman" w:cs="Times New Roman"/>
          <w:color w:val="000000"/>
        </w:rPr>
        <w:t xml:space="preserve"> teikiame</w:t>
      </w:r>
      <w:r w:rsidR="00D60E5E" w:rsidRPr="00D60E5E">
        <w:rPr>
          <w:rFonts w:ascii="Times New Roman" w:hAnsi="Times New Roman" w:cs="Times New Roman"/>
          <w:color w:val="000000"/>
        </w:rPr>
        <w:t xml:space="preserve"> pastabas ir pasiūlymus</w:t>
      </w:r>
      <w:r w:rsidR="00B44C28" w:rsidRPr="00D60E5E">
        <w:rPr>
          <w:rFonts w:ascii="Times New Roman" w:hAnsi="Times New Roman" w:cs="Times New Roman"/>
          <w:color w:val="000000"/>
        </w:rPr>
        <w:t>:</w:t>
      </w:r>
    </w:p>
    <w:p w:rsidR="00D60E5E" w:rsidRPr="00D60E5E" w:rsidRDefault="006E46DD" w:rsidP="00B44C28">
      <w:pPr>
        <w:pStyle w:val="Sraopastraipa"/>
        <w:numPr>
          <w:ilvl w:val="0"/>
          <w:numId w:val="1"/>
        </w:numPr>
        <w:autoSpaceDE w:val="0"/>
        <w:autoSpaceDN w:val="0"/>
        <w:adjustRightInd w:val="0"/>
        <w:spacing w:after="0" w:line="240" w:lineRule="auto"/>
        <w:ind w:left="1134"/>
        <w:jc w:val="both"/>
        <w:rPr>
          <w:rFonts w:ascii="Times New Roman" w:hAnsi="Times New Roman" w:cs="Times New Roman"/>
          <w:i/>
          <w:iCs/>
        </w:rPr>
      </w:pPr>
      <w:r>
        <w:rPr>
          <w:rFonts w:ascii="Times New Roman" w:hAnsi="Times New Roman" w:cs="Times New Roman"/>
        </w:rPr>
        <w:t xml:space="preserve">PFSA </w:t>
      </w:r>
      <w:r w:rsidRPr="00F01C89">
        <w:rPr>
          <w:rFonts w:ascii="Times New Roman" w:hAnsi="Times New Roman" w:cs="Times New Roman"/>
        </w:rPr>
        <w:t>32.6 punkto nuostata numato privalomą siektiną rodiklį „Inovacijų paramos paslaugas gavusios ir (ar) konsultuotos įmonės</w:t>
      </w:r>
      <w:r w:rsidR="00F01C89">
        <w:rPr>
          <w:rFonts w:ascii="Times New Roman" w:hAnsi="Times New Roman" w:cs="Times New Roman"/>
        </w:rPr>
        <w:t>,</w:t>
      </w:r>
      <w:r w:rsidRPr="00F01C89">
        <w:rPr>
          <w:rFonts w:ascii="Times New Roman" w:hAnsi="Times New Roman" w:cs="Times New Roman"/>
        </w:rPr>
        <w:t xml:space="preserve"> sukurti gaminių, paslaugų ar procesų prototipai“, todėl </w:t>
      </w:r>
      <w:r w:rsidRPr="00F01C89">
        <w:rPr>
          <w:rFonts w:ascii="Times New Roman" w:hAnsi="Times New Roman" w:cs="Times New Roman"/>
          <w:b/>
        </w:rPr>
        <w:t>s</w:t>
      </w:r>
      <w:r w:rsidR="00D60E5E" w:rsidRPr="00F01C89">
        <w:rPr>
          <w:rFonts w:ascii="Times New Roman" w:hAnsi="Times New Roman" w:cs="Times New Roman"/>
          <w:b/>
        </w:rPr>
        <w:t>iūlome PFSA 4 punkte</w:t>
      </w:r>
      <w:r w:rsidR="00D60E5E" w:rsidRPr="00F01C89">
        <w:rPr>
          <w:rFonts w:ascii="Times New Roman" w:hAnsi="Times New Roman" w:cs="Times New Roman"/>
        </w:rPr>
        <w:t>:</w:t>
      </w:r>
    </w:p>
    <w:p w:rsidR="00D60E5E" w:rsidRPr="00D60E5E" w:rsidRDefault="00D60E5E" w:rsidP="00D60E5E">
      <w:pPr>
        <w:pStyle w:val="Sraopastraipa"/>
        <w:numPr>
          <w:ilvl w:val="1"/>
          <w:numId w:val="1"/>
        </w:numPr>
        <w:autoSpaceDE w:val="0"/>
        <w:autoSpaceDN w:val="0"/>
        <w:adjustRightInd w:val="0"/>
        <w:spacing w:after="0" w:line="240" w:lineRule="auto"/>
        <w:jc w:val="both"/>
        <w:rPr>
          <w:rFonts w:ascii="Times New Roman" w:hAnsi="Times New Roman" w:cs="Times New Roman"/>
          <w:i/>
          <w:iCs/>
        </w:rPr>
      </w:pPr>
      <w:r w:rsidRPr="002F4657">
        <w:rPr>
          <w:rFonts w:ascii="Times New Roman" w:hAnsi="Times New Roman" w:cs="Times New Roman"/>
          <w:b/>
        </w:rPr>
        <w:t>patikslinti sąvoką – „Inovacija“</w:t>
      </w:r>
      <w:r>
        <w:rPr>
          <w:rFonts w:ascii="Times New Roman" w:hAnsi="Times New Roman" w:cs="Times New Roman"/>
        </w:rPr>
        <w:t xml:space="preserve">, ją įvardijant taip: </w:t>
      </w:r>
      <w:r w:rsidRPr="00D60E5E">
        <w:rPr>
          <w:rFonts w:ascii="Times New Roman" w:hAnsi="Times New Roman" w:cs="Times New Roman"/>
          <w:i/>
        </w:rPr>
        <w:t xml:space="preserve">Inovacija – </w:t>
      </w:r>
      <w:r w:rsidR="00041D07">
        <w:rPr>
          <w:rFonts w:ascii="Times New Roman" w:hAnsi="Times New Roman" w:cs="Times New Roman"/>
          <w:i/>
        </w:rPr>
        <w:t xml:space="preserve">produkto inovacijų kūrimas, </w:t>
      </w:r>
      <w:r w:rsidRPr="00D60E5E">
        <w:rPr>
          <w:rFonts w:ascii="Times New Roman" w:hAnsi="Times New Roman" w:cs="Times New Roman"/>
          <w:i/>
        </w:rPr>
        <w:t>organizacinių ir proceso inovacijų diegimas</w:t>
      </w:r>
      <w:r w:rsidRPr="00D60E5E">
        <w:rPr>
          <w:rFonts w:ascii="Times New Roman" w:hAnsi="Times New Roman" w:cs="Times New Roman"/>
        </w:rPr>
        <w:t>.</w:t>
      </w:r>
      <w:r>
        <w:rPr>
          <w:rFonts w:ascii="Times New Roman" w:hAnsi="Times New Roman" w:cs="Times New Roman"/>
        </w:rPr>
        <w:t xml:space="preserve"> </w:t>
      </w:r>
    </w:p>
    <w:p w:rsidR="00041D07" w:rsidRDefault="00FB39CE" w:rsidP="00FB39CE">
      <w:pPr>
        <w:pStyle w:val="Sraopastraipa"/>
        <w:numPr>
          <w:ilvl w:val="1"/>
          <w:numId w:val="1"/>
        </w:numPr>
        <w:autoSpaceDE w:val="0"/>
        <w:autoSpaceDN w:val="0"/>
        <w:adjustRightInd w:val="0"/>
        <w:spacing w:after="0" w:line="240" w:lineRule="auto"/>
        <w:jc w:val="both"/>
        <w:rPr>
          <w:rFonts w:ascii="Times New Roman" w:hAnsi="Times New Roman" w:cs="Times New Roman"/>
        </w:rPr>
      </w:pPr>
      <w:r w:rsidRPr="002F4657">
        <w:rPr>
          <w:rFonts w:ascii="Times New Roman" w:hAnsi="Times New Roman" w:cs="Times New Roman"/>
          <w:b/>
        </w:rPr>
        <w:t>pateikti „</w:t>
      </w:r>
      <w:r w:rsidR="00D60E5E" w:rsidRPr="002F4657">
        <w:rPr>
          <w:rFonts w:ascii="Times New Roman" w:hAnsi="Times New Roman" w:cs="Times New Roman"/>
          <w:b/>
        </w:rPr>
        <w:t>Produkto inovacij</w:t>
      </w:r>
      <w:r w:rsidR="00F01C89">
        <w:rPr>
          <w:rFonts w:ascii="Times New Roman" w:hAnsi="Times New Roman" w:cs="Times New Roman"/>
          <w:b/>
        </w:rPr>
        <w:t>os“ są</w:t>
      </w:r>
      <w:r w:rsidRPr="002F4657">
        <w:rPr>
          <w:rFonts w:ascii="Times New Roman" w:hAnsi="Times New Roman" w:cs="Times New Roman"/>
          <w:b/>
        </w:rPr>
        <w:t>voką</w:t>
      </w:r>
      <w:r w:rsidRPr="00FB39CE">
        <w:rPr>
          <w:rFonts w:ascii="Times New Roman" w:hAnsi="Times New Roman" w:cs="Times New Roman"/>
        </w:rPr>
        <w:t xml:space="preserve">, ją įvardijant taip: </w:t>
      </w:r>
      <w:r w:rsidRPr="00041D07">
        <w:rPr>
          <w:rFonts w:ascii="Times New Roman" w:hAnsi="Times New Roman" w:cs="Times New Roman"/>
          <w:i/>
        </w:rPr>
        <w:t>Produkto inovacija – prekės ir paslaugos, kurios tam tikromis savybėmis ar ketinimu jas naudoti gerokai skiriasi nuo anksčiau rinkoje (ar konkrečioje įmonėje) gamintų prekių ar teiktų paslaugų</w:t>
      </w:r>
      <w:r w:rsidR="00041D07" w:rsidRPr="00041D07">
        <w:rPr>
          <w:rFonts w:ascii="Times New Roman" w:hAnsi="Times New Roman" w:cs="Times New Roman"/>
          <w:i/>
        </w:rPr>
        <w:t xml:space="preserve"> (Oslo </w:t>
      </w:r>
      <w:r w:rsidR="002F4657">
        <w:rPr>
          <w:rFonts w:ascii="Times New Roman" w:hAnsi="Times New Roman" w:cs="Times New Roman"/>
          <w:i/>
        </w:rPr>
        <w:t>vadovas</w:t>
      </w:r>
      <w:r w:rsidR="00041D07" w:rsidRPr="00041D07">
        <w:rPr>
          <w:rFonts w:ascii="Times New Roman" w:hAnsi="Times New Roman" w:cs="Times New Roman"/>
          <w:i/>
        </w:rPr>
        <w:t>, 3</w:t>
      </w:r>
      <w:r w:rsidR="002F4657">
        <w:rPr>
          <w:rFonts w:ascii="Times New Roman" w:hAnsi="Times New Roman" w:cs="Times New Roman"/>
          <w:i/>
        </w:rPr>
        <w:t>-ias leidimas</w:t>
      </w:r>
      <w:r w:rsidR="00041D07" w:rsidRPr="00041D07">
        <w:rPr>
          <w:rFonts w:ascii="Times New Roman" w:hAnsi="Times New Roman" w:cs="Times New Roman"/>
          <w:i/>
        </w:rPr>
        <w:t>, 2005)</w:t>
      </w:r>
      <w:r w:rsidRPr="00D60E5E">
        <w:rPr>
          <w:rFonts w:ascii="Times New Roman" w:hAnsi="Times New Roman" w:cs="Times New Roman"/>
        </w:rPr>
        <w:t>.</w:t>
      </w:r>
      <w:r w:rsidRPr="00FB39CE">
        <w:rPr>
          <w:rFonts w:ascii="Times New Roman" w:hAnsi="Times New Roman" w:cs="Times New Roman"/>
        </w:rPr>
        <w:t xml:space="preserve"> </w:t>
      </w:r>
    </w:p>
    <w:p w:rsidR="006E46DD" w:rsidRPr="002F4657" w:rsidRDefault="006E46DD" w:rsidP="00041D07">
      <w:pPr>
        <w:pStyle w:val="Sraopastraipa"/>
        <w:numPr>
          <w:ilvl w:val="0"/>
          <w:numId w:val="1"/>
        </w:numPr>
        <w:autoSpaceDE w:val="0"/>
        <w:autoSpaceDN w:val="0"/>
        <w:adjustRightInd w:val="0"/>
        <w:spacing w:after="0" w:line="240" w:lineRule="auto"/>
        <w:ind w:left="1134"/>
        <w:jc w:val="both"/>
        <w:rPr>
          <w:rFonts w:ascii="Times New Roman" w:hAnsi="Times New Roman" w:cs="Times New Roman"/>
        </w:rPr>
      </w:pPr>
      <w:r w:rsidRPr="002F4657">
        <w:rPr>
          <w:rFonts w:ascii="Times New Roman" w:hAnsi="Times New Roman" w:cs="Times New Roman"/>
        </w:rPr>
        <w:t xml:space="preserve">PFSA 18 punkto nuostata numato, kad vykdant PFSA </w:t>
      </w:r>
      <w:r w:rsidR="002F4657">
        <w:rPr>
          <w:rFonts w:ascii="Times New Roman" w:hAnsi="Times New Roman" w:cs="Times New Roman"/>
        </w:rPr>
        <w:t>„</w:t>
      </w:r>
      <w:r w:rsidRPr="002F4657">
        <w:rPr>
          <w:rFonts w:ascii="Times New Roman" w:hAnsi="Times New Roman" w:cs="Times New Roman"/>
        </w:rPr>
        <w:t>10.2 papunktyje nurodytą veiklą, valstybės pagalba pareiškėjui ir (ar) partneriui (-</w:t>
      </w:r>
      <w:proofErr w:type="spellStart"/>
      <w:r w:rsidRPr="002F4657">
        <w:rPr>
          <w:rFonts w:ascii="Times New Roman" w:hAnsi="Times New Roman" w:cs="Times New Roman"/>
        </w:rPr>
        <w:t>iams</w:t>
      </w:r>
      <w:proofErr w:type="spellEnd"/>
      <w:r w:rsidRPr="002F4657">
        <w:rPr>
          <w:rFonts w:ascii="Times New Roman" w:hAnsi="Times New Roman" w:cs="Times New Roman"/>
        </w:rPr>
        <w:t>) neteikiama, jeigu pareiškėjas ir (ar) partneris (-</w:t>
      </w:r>
      <w:proofErr w:type="spellStart"/>
      <w:r w:rsidRPr="002F4657">
        <w:rPr>
          <w:rFonts w:ascii="Times New Roman" w:hAnsi="Times New Roman" w:cs="Times New Roman"/>
        </w:rPr>
        <w:t>iai</w:t>
      </w:r>
      <w:proofErr w:type="spellEnd"/>
      <w:r w:rsidRPr="002F4657">
        <w:rPr>
          <w:rFonts w:ascii="Times New Roman" w:hAnsi="Times New Roman" w:cs="Times New Roman"/>
        </w:rPr>
        <w:t>) pagrindžia, kad visa nauda, kurią jis (jie) gaus PFSA 10.2 papunktyje nurodytai veiklai vykdyti, bus perduota galutiniam naudos gavėjui, ir pareiškėjas ir partneris (-</w:t>
      </w:r>
      <w:proofErr w:type="spellStart"/>
      <w:r w:rsidRPr="002F4657">
        <w:rPr>
          <w:rFonts w:ascii="Times New Roman" w:hAnsi="Times New Roman" w:cs="Times New Roman"/>
        </w:rPr>
        <w:t>iai</w:t>
      </w:r>
      <w:proofErr w:type="spellEnd"/>
      <w:r w:rsidRPr="002F4657">
        <w:rPr>
          <w:rFonts w:ascii="Times New Roman" w:hAnsi="Times New Roman" w:cs="Times New Roman"/>
        </w:rPr>
        <w:t xml:space="preserve">) kaip tarpininkai negaus jokios naudos. Galutiniams naudos gavėjams – </w:t>
      </w:r>
      <w:r w:rsidRPr="002D3FA2">
        <w:rPr>
          <w:rFonts w:ascii="Times New Roman" w:hAnsi="Times New Roman" w:cs="Times New Roman"/>
          <w:i/>
          <w:u w:val="single"/>
        </w:rPr>
        <w:t>ūkio subjektams</w:t>
      </w:r>
      <w:r w:rsidRPr="002F4657">
        <w:rPr>
          <w:rFonts w:ascii="Times New Roman" w:hAnsi="Times New Roman" w:cs="Times New Roman"/>
        </w:rPr>
        <w:t xml:space="preserve"> – pagalba bus teikiama vadovaujantis </w:t>
      </w:r>
      <w:proofErr w:type="spellStart"/>
      <w:r w:rsidRPr="00F01C89">
        <w:rPr>
          <w:rFonts w:ascii="Times New Roman" w:hAnsi="Times New Roman" w:cs="Times New Roman"/>
          <w:i/>
        </w:rPr>
        <w:t>de</w:t>
      </w:r>
      <w:proofErr w:type="spellEnd"/>
      <w:r w:rsidR="00F01C89" w:rsidRPr="00F01C89">
        <w:rPr>
          <w:rFonts w:ascii="Times New Roman" w:hAnsi="Times New Roman" w:cs="Times New Roman"/>
          <w:i/>
        </w:rPr>
        <w:t xml:space="preserve"> </w:t>
      </w:r>
      <w:proofErr w:type="spellStart"/>
      <w:r w:rsidRPr="00F01C89">
        <w:rPr>
          <w:rFonts w:ascii="Times New Roman" w:hAnsi="Times New Roman" w:cs="Times New Roman"/>
          <w:i/>
        </w:rPr>
        <w:t>minimis</w:t>
      </w:r>
      <w:proofErr w:type="spellEnd"/>
      <w:r w:rsidRPr="002F4657">
        <w:rPr>
          <w:rFonts w:ascii="Times New Roman" w:hAnsi="Times New Roman" w:cs="Times New Roman"/>
        </w:rPr>
        <w:t xml:space="preserve"> pagalbos reglamentu.</w:t>
      </w:r>
      <w:r w:rsidR="002F4657">
        <w:rPr>
          <w:rFonts w:ascii="Times New Roman" w:hAnsi="Times New Roman" w:cs="Times New Roman"/>
        </w:rPr>
        <w:t>“</w:t>
      </w:r>
      <w:r w:rsidRPr="002F4657">
        <w:rPr>
          <w:rFonts w:ascii="Times New Roman" w:hAnsi="Times New Roman" w:cs="Times New Roman"/>
        </w:rPr>
        <w:t xml:space="preserve"> Tačiau </w:t>
      </w:r>
      <w:r w:rsidR="002F4657" w:rsidRPr="002F4657">
        <w:rPr>
          <w:rFonts w:ascii="Times New Roman" w:hAnsi="Times New Roman" w:cs="Times New Roman"/>
        </w:rPr>
        <w:t xml:space="preserve">PFSA 10.2 papunktyje nurodytą veikla apima </w:t>
      </w:r>
      <w:r w:rsidR="002F4657">
        <w:rPr>
          <w:rFonts w:ascii="Times New Roman" w:hAnsi="Times New Roman" w:cs="Times New Roman"/>
        </w:rPr>
        <w:t xml:space="preserve">ir </w:t>
      </w:r>
      <w:r w:rsidR="002F4657" w:rsidRPr="002F4657">
        <w:rPr>
          <w:rFonts w:ascii="Times New Roman" w:hAnsi="Times New Roman" w:cs="Times New Roman"/>
        </w:rPr>
        <w:t xml:space="preserve">veiklas, kurios gali būti skirtos </w:t>
      </w:r>
      <w:proofErr w:type="spellStart"/>
      <w:r w:rsidR="002F4657" w:rsidRPr="002D3FA2">
        <w:rPr>
          <w:rFonts w:ascii="Times New Roman" w:hAnsi="Times New Roman" w:cs="Times New Roman"/>
          <w:i/>
          <w:u w:val="single"/>
        </w:rPr>
        <w:t>perkančiosios</w:t>
      </w:r>
      <w:r w:rsidR="00F01C89">
        <w:rPr>
          <w:rFonts w:ascii="Times New Roman" w:hAnsi="Times New Roman" w:cs="Times New Roman"/>
          <w:i/>
          <w:u w:val="single"/>
        </w:rPr>
        <w:t>ms</w:t>
      </w:r>
      <w:proofErr w:type="spellEnd"/>
      <w:r w:rsidR="002F4657" w:rsidRPr="002D3FA2">
        <w:rPr>
          <w:rFonts w:ascii="Times New Roman" w:hAnsi="Times New Roman" w:cs="Times New Roman"/>
          <w:i/>
          <w:u w:val="single"/>
        </w:rPr>
        <w:t xml:space="preserve"> organizacijo</w:t>
      </w:r>
      <w:r w:rsidR="00F01C89">
        <w:rPr>
          <w:rFonts w:ascii="Times New Roman" w:hAnsi="Times New Roman" w:cs="Times New Roman"/>
          <w:i/>
          <w:u w:val="single"/>
        </w:rPr>
        <w:t>m</w:t>
      </w:r>
      <w:r w:rsidR="002F4657" w:rsidRPr="002D3FA2">
        <w:rPr>
          <w:rFonts w:ascii="Times New Roman" w:hAnsi="Times New Roman" w:cs="Times New Roman"/>
          <w:i/>
          <w:u w:val="single"/>
        </w:rPr>
        <w:t>s</w:t>
      </w:r>
      <w:r w:rsidR="002F4657">
        <w:rPr>
          <w:rFonts w:ascii="Times New Roman" w:hAnsi="Times New Roman" w:cs="Times New Roman"/>
        </w:rPr>
        <w:t xml:space="preserve"> – </w:t>
      </w:r>
      <w:r w:rsidR="002F4657" w:rsidRPr="002F4657">
        <w:rPr>
          <w:rFonts w:ascii="Times New Roman" w:hAnsi="Times New Roman" w:cs="Times New Roman"/>
        </w:rPr>
        <w:t xml:space="preserve">ekspertinė bei metodinė pagalba perkančiosioms organizacijoms dėl </w:t>
      </w:r>
      <w:proofErr w:type="spellStart"/>
      <w:r w:rsidR="002F4657" w:rsidRPr="002F4657">
        <w:rPr>
          <w:rFonts w:ascii="Times New Roman" w:hAnsi="Times New Roman" w:cs="Times New Roman"/>
        </w:rPr>
        <w:t>ikiprekybinių</w:t>
      </w:r>
      <w:proofErr w:type="spellEnd"/>
      <w:r w:rsidR="002F4657" w:rsidRPr="002F4657">
        <w:rPr>
          <w:rFonts w:ascii="Times New Roman" w:hAnsi="Times New Roman" w:cs="Times New Roman"/>
        </w:rPr>
        <w:t xml:space="preserve"> pirkimų vykdymo.</w:t>
      </w:r>
      <w:r w:rsidR="00F01C89">
        <w:rPr>
          <w:rFonts w:ascii="Times New Roman" w:hAnsi="Times New Roman" w:cs="Times New Roman"/>
        </w:rPr>
        <w:t xml:space="preserve"> Perkančiųjų organizacijų są</w:t>
      </w:r>
      <w:r w:rsidR="002F4657">
        <w:rPr>
          <w:rFonts w:ascii="Times New Roman" w:hAnsi="Times New Roman" w:cs="Times New Roman"/>
        </w:rPr>
        <w:t xml:space="preserve">voka yra įvardinta </w:t>
      </w:r>
      <w:bookmarkStart w:id="0" w:name="straipsnis1"/>
      <w:r w:rsidR="002D3FA2">
        <w:rPr>
          <w:rFonts w:ascii="Times New Roman" w:hAnsi="Times New Roman" w:cs="Times New Roman"/>
        </w:rPr>
        <w:t>LR</w:t>
      </w:r>
      <w:r w:rsidR="002D3FA2" w:rsidRPr="002D3FA2">
        <w:rPr>
          <w:rFonts w:ascii="Times New Roman" w:hAnsi="Times New Roman" w:cs="Times New Roman"/>
        </w:rPr>
        <w:t xml:space="preserve"> viešųjų pirkimų įstatymo</w:t>
      </w:r>
      <w:bookmarkEnd w:id="0"/>
      <w:r w:rsidR="002D3FA2" w:rsidRPr="002D3FA2">
        <w:rPr>
          <w:rFonts w:ascii="Times New Roman" w:hAnsi="Times New Roman" w:cs="Times New Roman"/>
        </w:rPr>
        <w:t xml:space="preserve"> (</w:t>
      </w:r>
      <w:bookmarkStart w:id="1" w:name="data_metai"/>
      <w:bookmarkEnd w:id="1"/>
      <w:r w:rsidR="002D3FA2" w:rsidRPr="002D3FA2">
        <w:rPr>
          <w:rFonts w:ascii="Times New Roman" w:hAnsi="Times New Roman" w:cs="Times New Roman"/>
        </w:rPr>
        <w:t xml:space="preserve">2005 m. </w:t>
      </w:r>
      <w:bookmarkStart w:id="2" w:name="data_menuo"/>
      <w:bookmarkEnd w:id="2"/>
      <w:r w:rsidR="002D3FA2" w:rsidRPr="002D3FA2">
        <w:rPr>
          <w:rFonts w:ascii="Times New Roman" w:hAnsi="Times New Roman" w:cs="Times New Roman"/>
        </w:rPr>
        <w:t xml:space="preserve">gruodžio </w:t>
      </w:r>
      <w:bookmarkStart w:id="3" w:name="data_diena"/>
      <w:bookmarkEnd w:id="3"/>
      <w:r w:rsidR="002D3FA2" w:rsidRPr="002D3FA2">
        <w:rPr>
          <w:rFonts w:ascii="Times New Roman" w:hAnsi="Times New Roman" w:cs="Times New Roman"/>
        </w:rPr>
        <w:t xml:space="preserve">22 d. Nr. </w:t>
      </w:r>
      <w:bookmarkStart w:id="4" w:name="dok_nr"/>
      <w:bookmarkEnd w:id="4"/>
      <w:r w:rsidR="002D3FA2" w:rsidRPr="002D3FA2">
        <w:rPr>
          <w:rFonts w:ascii="Times New Roman" w:hAnsi="Times New Roman" w:cs="Times New Roman"/>
        </w:rPr>
        <w:t>X-471) 4 straipsnyje.</w:t>
      </w:r>
      <w:r w:rsidR="002D3FA2">
        <w:rPr>
          <w:rFonts w:ascii="Times New Roman" w:hAnsi="Times New Roman" w:cs="Times New Roman"/>
        </w:rPr>
        <w:t xml:space="preserve"> Atitinkamai, </w:t>
      </w:r>
      <w:r w:rsidR="002D3FA2" w:rsidRPr="002D3FA2">
        <w:rPr>
          <w:rFonts w:ascii="Times New Roman" w:hAnsi="Times New Roman" w:cs="Times New Roman"/>
        </w:rPr>
        <w:t xml:space="preserve">LR konkurencijos įstatyme (VIII-1099, 1999.03.23; Nr. </w:t>
      </w:r>
      <w:hyperlink r:id="rId7" w:history="1">
        <w:r w:rsidR="002D3FA2" w:rsidRPr="002D3FA2">
          <w:rPr>
            <w:rFonts w:ascii="Times New Roman" w:hAnsi="Times New Roman" w:cs="Times New Roman"/>
          </w:rPr>
          <w:t>XI-1937</w:t>
        </w:r>
      </w:hyperlink>
      <w:r w:rsidR="002D3FA2" w:rsidRPr="002D3FA2">
        <w:rPr>
          <w:rFonts w:ascii="Times New Roman" w:hAnsi="Times New Roman" w:cs="Times New Roman"/>
        </w:rPr>
        <w:t xml:space="preserve">, 2012-03-22) pateikiama sąvoka „Ūkio subjektas – įmonės, jų junginiai (asociacijos, susivienijimai, konsorciumai ir pan.), įstaigos ar organizacijos arba kiti juridiniai ar fiziniai asmenys, </w:t>
      </w:r>
      <w:r w:rsidR="002D3FA2" w:rsidRPr="002D3FA2">
        <w:rPr>
          <w:rFonts w:ascii="Times New Roman" w:hAnsi="Times New Roman" w:cs="Times New Roman"/>
          <w:i/>
          <w:u w:val="single"/>
        </w:rPr>
        <w:t>kurie vykdo ar gali vykdyti ūkinę veiklą Lietuvos Respublikoje arba kurių veiksmai daro įtaką ar ketinimai, jeigu būtų įgyvendinti, galėtų daryti įtaką ūkinei veiklai Lietuvos Respublikoje</w:t>
      </w:r>
      <w:r w:rsidR="002D3FA2" w:rsidRPr="002D3FA2">
        <w:rPr>
          <w:rFonts w:ascii="Times New Roman" w:hAnsi="Times New Roman" w:cs="Times New Roman"/>
        </w:rPr>
        <w:t>. Lietuvos Respublikos viešojo administravimo subjektai laikomi ūkio subjektais, jeigu jie vykdo ūkinę veiklą“.</w:t>
      </w:r>
      <w:r w:rsidR="002D3FA2">
        <w:rPr>
          <w:rFonts w:ascii="Times New Roman" w:hAnsi="Times New Roman" w:cs="Times New Roman"/>
        </w:rPr>
        <w:t xml:space="preserve"> </w:t>
      </w:r>
      <w:r w:rsidR="002D3FA2" w:rsidRPr="002D3FA2">
        <w:rPr>
          <w:rFonts w:ascii="Times New Roman" w:hAnsi="Times New Roman" w:cs="Times New Roman"/>
          <w:b/>
        </w:rPr>
        <w:t>Siūlome papildyti PFSA nuostatomis</w:t>
      </w:r>
      <w:r w:rsidR="002D3FA2">
        <w:rPr>
          <w:rFonts w:ascii="Times New Roman" w:hAnsi="Times New Roman" w:cs="Times New Roman"/>
        </w:rPr>
        <w:t xml:space="preserve">, </w:t>
      </w:r>
      <w:r w:rsidR="002D3FA2" w:rsidRPr="0003606A">
        <w:rPr>
          <w:rFonts w:ascii="Times New Roman" w:hAnsi="Times New Roman" w:cs="Times New Roman"/>
        </w:rPr>
        <w:t xml:space="preserve">įvardijančiomis sąlygas, kada perkančioji organizacija – Lietuvos Respublikos viešojo administravimo subjektas – bus laikomas </w:t>
      </w:r>
      <w:proofErr w:type="spellStart"/>
      <w:r w:rsidR="002D3FA2" w:rsidRPr="00F01C89">
        <w:rPr>
          <w:rFonts w:ascii="Times New Roman" w:hAnsi="Times New Roman" w:cs="Times New Roman"/>
          <w:i/>
        </w:rPr>
        <w:t>de</w:t>
      </w:r>
      <w:proofErr w:type="spellEnd"/>
      <w:r w:rsidR="00F01C89" w:rsidRPr="00F01C89">
        <w:rPr>
          <w:rFonts w:ascii="Times New Roman" w:hAnsi="Times New Roman" w:cs="Times New Roman"/>
          <w:i/>
        </w:rPr>
        <w:t xml:space="preserve"> </w:t>
      </w:r>
      <w:proofErr w:type="spellStart"/>
      <w:r w:rsidR="002D3FA2" w:rsidRPr="00F01C89">
        <w:rPr>
          <w:rFonts w:ascii="Times New Roman" w:hAnsi="Times New Roman" w:cs="Times New Roman"/>
          <w:i/>
        </w:rPr>
        <w:t>minimis</w:t>
      </w:r>
      <w:proofErr w:type="spellEnd"/>
      <w:r w:rsidR="002D3FA2" w:rsidRPr="0003606A">
        <w:rPr>
          <w:rFonts w:ascii="Times New Roman" w:hAnsi="Times New Roman" w:cs="Times New Roman"/>
        </w:rPr>
        <w:t xml:space="preserve"> pagalbos gavėju.</w:t>
      </w:r>
      <w:r w:rsidR="002D3FA2">
        <w:rPr>
          <w:rFonts w:ascii="Times New Roman" w:hAnsi="Times New Roman" w:cs="Times New Roman"/>
        </w:rPr>
        <w:t xml:space="preserve"> </w:t>
      </w:r>
    </w:p>
    <w:p w:rsidR="006D557C" w:rsidRDefault="006D557C" w:rsidP="00041D07">
      <w:pPr>
        <w:pStyle w:val="Sraopastraipa"/>
        <w:numPr>
          <w:ilvl w:val="0"/>
          <w:numId w:val="1"/>
        </w:numPr>
        <w:autoSpaceDE w:val="0"/>
        <w:autoSpaceDN w:val="0"/>
        <w:adjustRightInd w:val="0"/>
        <w:spacing w:after="0" w:line="240" w:lineRule="auto"/>
        <w:ind w:left="1134"/>
        <w:jc w:val="both"/>
        <w:rPr>
          <w:rFonts w:ascii="Times New Roman" w:hAnsi="Times New Roman" w:cs="Times New Roman"/>
        </w:rPr>
      </w:pPr>
      <w:r w:rsidRPr="00F01C89">
        <w:rPr>
          <w:rFonts w:ascii="Times New Roman" w:hAnsi="Times New Roman" w:cs="Times New Roman"/>
        </w:rPr>
        <w:t xml:space="preserve">Vadovaujantis </w:t>
      </w:r>
      <w:r w:rsidR="007B0258" w:rsidRPr="00F01C89">
        <w:rPr>
          <w:rFonts w:ascii="Times New Roman" w:hAnsi="Times New Roman" w:cs="Times New Roman"/>
        </w:rPr>
        <w:t>PFSA 21.2 punkto nuo</w:t>
      </w:r>
      <w:r w:rsidRPr="00F01C89">
        <w:rPr>
          <w:rFonts w:ascii="Times New Roman" w:hAnsi="Times New Roman" w:cs="Times New Roman"/>
        </w:rPr>
        <w:t>s</w:t>
      </w:r>
      <w:r w:rsidR="007B0258" w:rsidRPr="00F01C89">
        <w:rPr>
          <w:rFonts w:ascii="Times New Roman" w:hAnsi="Times New Roman" w:cs="Times New Roman"/>
        </w:rPr>
        <w:t xml:space="preserve">tata, </w:t>
      </w:r>
      <w:r w:rsidRPr="00F01C89">
        <w:rPr>
          <w:rFonts w:ascii="Times New Roman" w:hAnsi="Times New Roman" w:cs="Times New Roman"/>
        </w:rPr>
        <w:t xml:space="preserve">bus vertinama, ar projektas prisideda prie Prioritetinių mokslinių tyrimų ir eksperimentinės (socialinės, kultūrinės) plėtros ir inovacijų raidos (sumaniosios specializacijos) krypčių ir jų prioritetų įgyvendinimo programos 19.2 tikslo įgyvendinimo </w:t>
      </w:r>
      <w:r w:rsidRPr="00F01C89">
        <w:rPr>
          <w:rFonts w:ascii="Times New Roman" w:hAnsi="Times New Roman" w:cs="Times New Roman"/>
          <w:i/>
          <w:u w:val="single"/>
        </w:rPr>
        <w:t>ir atitinka bent vieno konkretaus prioriteto veiksmų plane nustatytą bent vieną prioriteto teminį specifiškumą</w:t>
      </w:r>
      <w:r w:rsidR="002F4657">
        <w:rPr>
          <w:rFonts w:ascii="Times New Roman" w:hAnsi="Times New Roman" w:cs="Times New Roman"/>
        </w:rPr>
        <w:t>.</w:t>
      </w:r>
      <w:r>
        <w:rPr>
          <w:rFonts w:ascii="Times New Roman" w:hAnsi="Times New Roman" w:cs="Times New Roman"/>
        </w:rPr>
        <w:t xml:space="preserve"> </w:t>
      </w:r>
      <w:r w:rsidR="0003606A">
        <w:rPr>
          <w:rFonts w:ascii="Times New Roman" w:hAnsi="Times New Roman" w:cs="Times New Roman"/>
        </w:rPr>
        <w:t xml:space="preserve">Tačiau </w:t>
      </w:r>
      <w:r w:rsidR="0003606A" w:rsidRPr="0003606A">
        <w:rPr>
          <w:rFonts w:ascii="Times New Roman" w:hAnsi="Times New Roman" w:cs="Times New Roman"/>
        </w:rPr>
        <w:t xml:space="preserve">konkretaus prioriteto veiksmų plane nustatyti prioriteto teminiai </w:t>
      </w:r>
      <w:proofErr w:type="spellStart"/>
      <w:r w:rsidR="0003606A" w:rsidRPr="0003606A">
        <w:rPr>
          <w:rFonts w:ascii="Times New Roman" w:hAnsi="Times New Roman" w:cs="Times New Roman"/>
        </w:rPr>
        <w:t>specifiškumai</w:t>
      </w:r>
      <w:proofErr w:type="spellEnd"/>
      <w:r w:rsidR="0003606A" w:rsidRPr="0003606A">
        <w:rPr>
          <w:rFonts w:ascii="Times New Roman" w:hAnsi="Times New Roman" w:cs="Times New Roman"/>
        </w:rPr>
        <w:t xml:space="preserve"> įvardija mokslinių tyrimų ir eksper</w:t>
      </w:r>
      <w:r w:rsidR="00F01C89">
        <w:rPr>
          <w:rFonts w:ascii="Times New Roman" w:hAnsi="Times New Roman" w:cs="Times New Roman"/>
        </w:rPr>
        <w:t>i</w:t>
      </w:r>
      <w:r w:rsidR="0003606A" w:rsidRPr="0003606A">
        <w:rPr>
          <w:rFonts w:ascii="Times New Roman" w:hAnsi="Times New Roman" w:cs="Times New Roman"/>
        </w:rPr>
        <w:t xml:space="preserve">mentinės plėtros </w:t>
      </w:r>
      <w:proofErr w:type="spellStart"/>
      <w:r w:rsidR="0003606A" w:rsidRPr="0003606A">
        <w:rPr>
          <w:rFonts w:ascii="Times New Roman" w:hAnsi="Times New Roman" w:cs="Times New Roman"/>
        </w:rPr>
        <w:t>specifiškumus</w:t>
      </w:r>
      <w:proofErr w:type="spellEnd"/>
      <w:r w:rsidR="0003606A" w:rsidRPr="0003606A">
        <w:rPr>
          <w:rFonts w:ascii="Times New Roman" w:hAnsi="Times New Roman" w:cs="Times New Roman"/>
        </w:rPr>
        <w:t xml:space="preserve">, bet ne </w:t>
      </w:r>
      <w:r w:rsidR="0003606A" w:rsidRPr="00F01C89">
        <w:rPr>
          <w:rFonts w:ascii="Times New Roman" w:hAnsi="Times New Roman" w:cs="Times New Roman"/>
          <w:i/>
        </w:rPr>
        <w:t>Inovacijų konsultavimo</w:t>
      </w:r>
      <w:r w:rsidR="0003606A" w:rsidRPr="0003606A">
        <w:rPr>
          <w:rFonts w:ascii="Times New Roman" w:hAnsi="Times New Roman" w:cs="Times New Roman"/>
        </w:rPr>
        <w:t xml:space="preserve"> ir </w:t>
      </w:r>
      <w:r w:rsidR="0003606A" w:rsidRPr="00F01C89">
        <w:rPr>
          <w:rFonts w:ascii="Times New Roman" w:hAnsi="Times New Roman" w:cs="Times New Roman"/>
          <w:i/>
        </w:rPr>
        <w:t>Inovacijų paramos</w:t>
      </w:r>
      <w:r w:rsidR="0003606A" w:rsidRPr="0003606A">
        <w:rPr>
          <w:rFonts w:ascii="Times New Roman" w:hAnsi="Times New Roman" w:cs="Times New Roman"/>
        </w:rPr>
        <w:t xml:space="preserve"> paslaugų specifiškumą.</w:t>
      </w:r>
      <w:r w:rsidR="0003606A">
        <w:rPr>
          <w:rFonts w:ascii="Times New Roman" w:hAnsi="Times New Roman" w:cs="Times New Roman"/>
        </w:rPr>
        <w:t xml:space="preserve"> </w:t>
      </w:r>
      <w:r>
        <w:rPr>
          <w:rFonts w:ascii="Times New Roman" w:hAnsi="Times New Roman" w:cs="Times New Roman"/>
        </w:rPr>
        <w:t>Siekiant išvengti nesusipratimų interpretuojant nuostatą – „atitinka“</w:t>
      </w:r>
      <w:r w:rsidR="0003606A" w:rsidRPr="0003606A">
        <w:rPr>
          <w:rFonts w:ascii="Times New Roman" w:hAnsi="Times New Roman" w:cs="Times New Roman"/>
        </w:rPr>
        <w:t xml:space="preserve">, </w:t>
      </w:r>
      <w:r w:rsidR="0003606A" w:rsidRPr="0003606A">
        <w:rPr>
          <w:rFonts w:ascii="Times New Roman" w:hAnsi="Times New Roman" w:cs="Times New Roman"/>
          <w:b/>
        </w:rPr>
        <w:t>siūlome papildyti PFSA nuostata</w:t>
      </w:r>
      <w:r w:rsidR="0003606A" w:rsidRPr="0003606A">
        <w:rPr>
          <w:rFonts w:ascii="Times New Roman" w:hAnsi="Times New Roman" w:cs="Times New Roman"/>
        </w:rPr>
        <w:t xml:space="preserve">, kad </w:t>
      </w:r>
      <w:r w:rsidR="0003606A" w:rsidRPr="0003606A">
        <w:rPr>
          <w:rFonts w:ascii="Times New Roman" w:hAnsi="Times New Roman" w:cs="Times New Roman"/>
          <w:i/>
        </w:rPr>
        <w:t xml:space="preserve">“technologijų pažangos ir inovacijų populiarinimo, inovacijų konsultavimo ir inovacijų </w:t>
      </w:r>
      <w:r w:rsidR="00F01C89">
        <w:rPr>
          <w:rFonts w:ascii="Times New Roman" w:hAnsi="Times New Roman" w:cs="Times New Roman"/>
          <w:i/>
        </w:rPr>
        <w:t>paramos paslaugų teikimo atveju</w:t>
      </w:r>
      <w:r w:rsidR="0003606A" w:rsidRPr="0003606A">
        <w:rPr>
          <w:rFonts w:ascii="Times New Roman" w:hAnsi="Times New Roman" w:cs="Times New Roman"/>
          <w:i/>
        </w:rPr>
        <w:t xml:space="preserve"> bus laikoma, kad projektas </w:t>
      </w:r>
      <w:r w:rsidR="0003606A" w:rsidRPr="00F01C89">
        <w:rPr>
          <w:rFonts w:ascii="Times New Roman" w:hAnsi="Times New Roman" w:cs="Times New Roman"/>
          <w:i/>
        </w:rPr>
        <w:t xml:space="preserve">atitinka bent vieno konkretaus prioriteto veiksmų plane nustatytą bent vieną prioriteto teminį specifiškumą, jei </w:t>
      </w:r>
      <w:r w:rsidR="0003606A" w:rsidRPr="0003606A">
        <w:rPr>
          <w:rFonts w:ascii="Times New Roman" w:hAnsi="Times New Roman" w:cs="Times New Roman"/>
          <w:i/>
        </w:rPr>
        <w:t>technologijų pažangos ir inovacijų populiarinimo, inovacijų konsultavimo ir inovacijų paramos paslaugos bus teikiamos subjektams, kurie vykdo arba planuoja vykdyti MTEP ir inovacijų veiklas, a</w:t>
      </w:r>
      <w:r w:rsidR="00F01C89">
        <w:rPr>
          <w:rFonts w:ascii="Times New Roman" w:hAnsi="Times New Roman" w:cs="Times New Roman"/>
          <w:i/>
        </w:rPr>
        <w:t>t</w:t>
      </w:r>
      <w:r w:rsidR="0003606A" w:rsidRPr="0003606A">
        <w:rPr>
          <w:rFonts w:ascii="Times New Roman" w:hAnsi="Times New Roman" w:cs="Times New Roman"/>
          <w:i/>
        </w:rPr>
        <w:t xml:space="preserve">itinkančias </w:t>
      </w:r>
      <w:r w:rsidR="0003606A" w:rsidRPr="00F01C89">
        <w:rPr>
          <w:rFonts w:ascii="Times New Roman" w:hAnsi="Times New Roman" w:cs="Times New Roman"/>
          <w:i/>
        </w:rPr>
        <w:t>bent vieno konkretaus prioriteto veiksmų plane nustatytą bent vieną prioriteto teminį specifiškumą</w:t>
      </w:r>
      <w:r w:rsidR="0003606A" w:rsidRPr="0003606A">
        <w:rPr>
          <w:rFonts w:ascii="Times New Roman" w:hAnsi="Times New Roman" w:cs="Times New Roman"/>
          <w:i/>
        </w:rPr>
        <w:t>.</w:t>
      </w:r>
      <w:r>
        <w:rPr>
          <w:rFonts w:ascii="Times New Roman" w:hAnsi="Times New Roman" w:cs="Times New Roman"/>
        </w:rPr>
        <w:t xml:space="preserve"> </w:t>
      </w:r>
    </w:p>
    <w:p w:rsidR="008C66AB" w:rsidRPr="000C0866" w:rsidRDefault="008C66AB" w:rsidP="00041D07">
      <w:pPr>
        <w:pStyle w:val="Sraopastraipa"/>
        <w:numPr>
          <w:ilvl w:val="0"/>
          <w:numId w:val="1"/>
        </w:numPr>
        <w:autoSpaceDE w:val="0"/>
        <w:autoSpaceDN w:val="0"/>
        <w:adjustRightInd w:val="0"/>
        <w:spacing w:after="0" w:line="240" w:lineRule="auto"/>
        <w:ind w:left="1134"/>
        <w:jc w:val="both"/>
        <w:rPr>
          <w:rFonts w:ascii="Times New Roman" w:hAnsi="Times New Roman" w:cs="Times New Roman"/>
        </w:rPr>
      </w:pPr>
      <w:r w:rsidRPr="00594018">
        <w:rPr>
          <w:rFonts w:ascii="Times New Roman" w:hAnsi="Times New Roman" w:cs="Times New Roman"/>
        </w:rPr>
        <w:t xml:space="preserve">PFSA </w:t>
      </w:r>
      <w:r w:rsidRPr="00F01C89">
        <w:rPr>
          <w:rFonts w:ascii="Times New Roman" w:hAnsi="Times New Roman" w:cs="Times New Roman"/>
        </w:rPr>
        <w:t>22.2 punkte įvardinta nuostata, numatanti</w:t>
      </w:r>
      <w:r w:rsidR="00F01C89">
        <w:rPr>
          <w:rFonts w:ascii="Times New Roman" w:hAnsi="Times New Roman" w:cs="Times New Roman"/>
        </w:rPr>
        <w:t>,</w:t>
      </w:r>
      <w:r w:rsidRPr="00F01C89">
        <w:rPr>
          <w:rFonts w:ascii="Times New Roman" w:hAnsi="Times New Roman" w:cs="Times New Roman"/>
        </w:rPr>
        <w:t xml:space="preserve"> kad </w:t>
      </w:r>
      <w:r w:rsidRPr="00594018">
        <w:rPr>
          <w:rFonts w:ascii="Times New Roman" w:hAnsi="Times New Roman"/>
          <w:lang w:eastAsia="lt-LT"/>
        </w:rPr>
        <w:t xml:space="preserve">teikiamos konsultacijos inovacijų klausimais ir (ar) inovacijų paramos paslaugos turi būti „skirtos įmonėms, paskutinius trejus metus iki konsultacijos ir (ar) inovacijų paslaugos gavimo vykdančioms MTEPI veiklas, arba įmonėms, kurių  planuojama vystyti veikla priskiriama MTEPI veiklai“ iš tinkamų naudos </w:t>
      </w:r>
      <w:r w:rsidRPr="00594018">
        <w:rPr>
          <w:rFonts w:ascii="Times New Roman" w:hAnsi="Times New Roman"/>
          <w:lang w:eastAsia="lt-LT"/>
        </w:rPr>
        <w:lastRenderedPageBreak/>
        <w:t xml:space="preserve">gavėjų </w:t>
      </w:r>
      <w:r w:rsidR="00672CF2" w:rsidRPr="00594018">
        <w:rPr>
          <w:rFonts w:ascii="Times New Roman" w:hAnsi="Times New Roman"/>
          <w:lang w:eastAsia="lt-LT"/>
        </w:rPr>
        <w:t xml:space="preserve">galimai </w:t>
      </w:r>
      <w:r w:rsidRPr="00594018">
        <w:rPr>
          <w:rFonts w:ascii="Times New Roman" w:hAnsi="Times New Roman"/>
          <w:lang w:eastAsia="lt-LT"/>
        </w:rPr>
        <w:t>eliminuoja subjektus, kurie, pavyzd</w:t>
      </w:r>
      <w:r w:rsidR="00672CF2" w:rsidRPr="00594018">
        <w:rPr>
          <w:rFonts w:ascii="Times New Roman" w:hAnsi="Times New Roman"/>
          <w:lang w:eastAsia="lt-LT"/>
        </w:rPr>
        <w:t>ž</w:t>
      </w:r>
      <w:r w:rsidRPr="00594018">
        <w:rPr>
          <w:rFonts w:ascii="Times New Roman" w:hAnsi="Times New Roman"/>
          <w:lang w:eastAsia="lt-LT"/>
        </w:rPr>
        <w:t xml:space="preserve">iui, veikia trumpiau nei </w:t>
      </w:r>
      <w:r w:rsidRPr="00F01C89">
        <w:rPr>
          <w:rFonts w:ascii="Times New Roman" w:hAnsi="Times New Roman"/>
          <w:lang w:eastAsia="lt-LT"/>
        </w:rPr>
        <w:t>3 metai</w:t>
      </w:r>
      <w:r w:rsidR="00672CF2" w:rsidRPr="00F01C89">
        <w:rPr>
          <w:rFonts w:ascii="Times New Roman" w:hAnsi="Times New Roman"/>
          <w:lang w:eastAsia="lt-LT"/>
        </w:rPr>
        <w:t xml:space="preserve"> ir </w:t>
      </w:r>
      <w:r w:rsidR="00672CF2" w:rsidRPr="00594018">
        <w:rPr>
          <w:rFonts w:ascii="Times New Roman" w:hAnsi="Times New Roman"/>
          <w:lang w:eastAsia="lt-LT"/>
        </w:rPr>
        <w:t xml:space="preserve">MTEP veiklą vykdo trumpiau nei </w:t>
      </w:r>
      <w:r w:rsidR="00672CF2" w:rsidRPr="00F01C89">
        <w:rPr>
          <w:rFonts w:ascii="Times New Roman" w:hAnsi="Times New Roman"/>
          <w:lang w:eastAsia="lt-LT"/>
        </w:rPr>
        <w:t xml:space="preserve">3 metai. Siekiant išvengti dviprasmiškų vertinimų šiuo aspektu, </w:t>
      </w:r>
      <w:r w:rsidR="00594018" w:rsidRPr="00594018">
        <w:rPr>
          <w:rFonts w:ascii="Times New Roman" w:hAnsi="Times New Roman" w:cs="Times New Roman"/>
          <w:b/>
        </w:rPr>
        <w:t>siūlome papildyti PFSA nuostatomis</w:t>
      </w:r>
      <w:r w:rsidR="00594018" w:rsidRPr="00594018">
        <w:rPr>
          <w:rFonts w:ascii="Times New Roman" w:hAnsi="Times New Roman" w:cs="Times New Roman"/>
        </w:rPr>
        <w:t xml:space="preserve">, įvardijančiomis atvejus, kai įmonės </w:t>
      </w:r>
      <w:r w:rsidR="00594018" w:rsidRPr="00594018">
        <w:rPr>
          <w:rFonts w:ascii="Times New Roman" w:hAnsi="Times New Roman"/>
          <w:lang w:eastAsia="lt-LT"/>
        </w:rPr>
        <w:t>iki konsultacijos ir (</w:t>
      </w:r>
      <w:r w:rsidR="00594018" w:rsidRPr="000C0866">
        <w:rPr>
          <w:rFonts w:ascii="Times New Roman" w:hAnsi="Times New Roman"/>
          <w:lang w:eastAsia="lt-LT"/>
        </w:rPr>
        <w:t xml:space="preserve">ar) inovacijų paslaugos gavimo veikia trumpiau nei </w:t>
      </w:r>
      <w:r w:rsidR="00594018" w:rsidRPr="00F01C89">
        <w:rPr>
          <w:rFonts w:ascii="Times New Roman" w:hAnsi="Times New Roman"/>
          <w:lang w:eastAsia="lt-LT"/>
        </w:rPr>
        <w:t xml:space="preserve">3 metai ir </w:t>
      </w:r>
      <w:r w:rsidR="00594018" w:rsidRPr="000C0866">
        <w:rPr>
          <w:rFonts w:ascii="Times New Roman" w:hAnsi="Times New Roman"/>
          <w:lang w:eastAsia="lt-LT"/>
        </w:rPr>
        <w:t xml:space="preserve">MTEP veiklą vykdo trumpiau nei </w:t>
      </w:r>
      <w:r w:rsidR="00594018" w:rsidRPr="00F01C89">
        <w:rPr>
          <w:rFonts w:ascii="Times New Roman" w:hAnsi="Times New Roman"/>
          <w:lang w:eastAsia="lt-LT"/>
        </w:rPr>
        <w:t>3 metai.</w:t>
      </w:r>
    </w:p>
    <w:p w:rsidR="008C66AB" w:rsidRPr="000C0866" w:rsidRDefault="00FF1274" w:rsidP="00041D07">
      <w:pPr>
        <w:pStyle w:val="Sraopastraipa"/>
        <w:numPr>
          <w:ilvl w:val="0"/>
          <w:numId w:val="1"/>
        </w:numPr>
        <w:autoSpaceDE w:val="0"/>
        <w:autoSpaceDN w:val="0"/>
        <w:adjustRightInd w:val="0"/>
        <w:spacing w:after="0" w:line="240" w:lineRule="auto"/>
        <w:ind w:left="1134"/>
        <w:jc w:val="both"/>
        <w:rPr>
          <w:rFonts w:ascii="Times New Roman" w:hAnsi="Times New Roman" w:cs="Times New Roman"/>
        </w:rPr>
      </w:pPr>
      <w:r w:rsidRPr="00F01C89">
        <w:rPr>
          <w:rFonts w:ascii="Times New Roman" w:hAnsi="Times New Roman"/>
        </w:rPr>
        <w:t>PFSA 26 punkto nuostata numato, kad paga</w:t>
      </w:r>
      <w:r w:rsidR="00F01C89" w:rsidRPr="00F01C89">
        <w:rPr>
          <w:rFonts w:ascii="Times New Roman" w:hAnsi="Times New Roman"/>
        </w:rPr>
        <w:t>l</w:t>
      </w:r>
      <w:r w:rsidRPr="00F01C89">
        <w:rPr>
          <w:rFonts w:ascii="Times New Roman" w:hAnsi="Times New Roman"/>
        </w:rPr>
        <w:t xml:space="preserve"> PFSA nefinansuojama pareiškėjo ir (ar) partnerio (-</w:t>
      </w:r>
      <w:proofErr w:type="spellStart"/>
      <w:r w:rsidRPr="00F01C89">
        <w:rPr>
          <w:rFonts w:ascii="Times New Roman" w:hAnsi="Times New Roman"/>
        </w:rPr>
        <w:t>ių</w:t>
      </w:r>
      <w:proofErr w:type="spellEnd"/>
      <w:r w:rsidRPr="00F01C89">
        <w:rPr>
          <w:rFonts w:ascii="Times New Roman" w:hAnsi="Times New Roman"/>
        </w:rPr>
        <w:t xml:space="preserve">) </w:t>
      </w:r>
      <w:r w:rsidR="004E4870" w:rsidRPr="00F01C89">
        <w:rPr>
          <w:rFonts w:ascii="Times New Roman" w:hAnsi="Times New Roman"/>
        </w:rPr>
        <w:t>„</w:t>
      </w:r>
      <w:r w:rsidRPr="00F01C89">
        <w:rPr>
          <w:rFonts w:ascii="Times New Roman" w:hAnsi="Times New Roman"/>
        </w:rPr>
        <w:t>2007–2013 metų finansavimo laikotarpio tęstinumo reikalavimų įgyvendinimas</w:t>
      </w:r>
      <w:r w:rsidR="004E4870" w:rsidRPr="00F01C89">
        <w:rPr>
          <w:rFonts w:ascii="Times New Roman" w:hAnsi="Times New Roman"/>
        </w:rPr>
        <w:t>“.</w:t>
      </w:r>
      <w:r w:rsidR="004E4870" w:rsidRPr="000C0866">
        <w:rPr>
          <w:rFonts w:ascii="Times New Roman" w:hAnsi="Times New Roman"/>
        </w:rPr>
        <w:t xml:space="preserve"> Manome, kad „projekto“ ir „projekto veiklų“ interpretavimas </w:t>
      </w:r>
      <w:r w:rsidR="00F01C89">
        <w:rPr>
          <w:rFonts w:ascii="Times New Roman" w:hAnsi="Times New Roman"/>
        </w:rPr>
        <w:t xml:space="preserve">minėtos </w:t>
      </w:r>
      <w:r w:rsidR="004E4870" w:rsidRPr="000C0866">
        <w:rPr>
          <w:rFonts w:ascii="Times New Roman" w:hAnsi="Times New Roman"/>
        </w:rPr>
        <w:t xml:space="preserve">nuostatos kontekste yra daugiaprasmiškas bei generuojantis atitinkamas teisines </w:t>
      </w:r>
      <w:r w:rsidR="00F01C89" w:rsidRPr="000C0866">
        <w:rPr>
          <w:rFonts w:ascii="Times New Roman" w:hAnsi="Times New Roman"/>
        </w:rPr>
        <w:t>pasekmes</w:t>
      </w:r>
      <w:r w:rsidR="004E4870" w:rsidRPr="000C0866">
        <w:rPr>
          <w:rFonts w:ascii="Times New Roman" w:hAnsi="Times New Roman"/>
        </w:rPr>
        <w:t>, kurios gali neigiamai paveikti projektų vertinimą bei įgyvendinimą. Taip pat manome, kad šis reikalavimas yra perteklinis, ir nėra būtinas, vadovaujan</w:t>
      </w:r>
      <w:r w:rsidR="00F01C89">
        <w:rPr>
          <w:rFonts w:ascii="Times New Roman" w:hAnsi="Times New Roman"/>
        </w:rPr>
        <w:t>t</w:t>
      </w:r>
      <w:r w:rsidR="004E4870" w:rsidRPr="000C0866">
        <w:rPr>
          <w:rFonts w:ascii="Times New Roman" w:hAnsi="Times New Roman"/>
        </w:rPr>
        <w:t xml:space="preserve">is teisės aktais. </w:t>
      </w:r>
      <w:r w:rsidR="004E4870" w:rsidRPr="000C0866">
        <w:rPr>
          <w:rFonts w:ascii="Times New Roman" w:hAnsi="Times New Roman"/>
          <w:b/>
        </w:rPr>
        <w:t>Siūlome atsisakyti šio</w:t>
      </w:r>
      <w:r w:rsidR="00F01C89">
        <w:rPr>
          <w:rFonts w:ascii="Times New Roman" w:hAnsi="Times New Roman"/>
          <w:b/>
        </w:rPr>
        <w:t xml:space="preserve"> reikalavimo arba pateikti nuor</w:t>
      </w:r>
      <w:r w:rsidR="004E4870" w:rsidRPr="000C0866">
        <w:rPr>
          <w:rFonts w:ascii="Times New Roman" w:hAnsi="Times New Roman"/>
          <w:b/>
        </w:rPr>
        <w:t>odą į teisės ir normatyvinį aktą</w:t>
      </w:r>
      <w:r w:rsidR="00F01C89">
        <w:rPr>
          <w:rFonts w:ascii="Times New Roman" w:hAnsi="Times New Roman"/>
        </w:rPr>
        <w:t>, kuriame</w:t>
      </w:r>
      <w:r w:rsidR="004E4870" w:rsidRPr="000C0866">
        <w:rPr>
          <w:rFonts w:ascii="Times New Roman" w:hAnsi="Times New Roman"/>
        </w:rPr>
        <w:t xml:space="preserve"> yra įvardijama nuostata dėl „2007–2013 metų finansavimo laikotarpio tęstinumo reikalavimų įgyvendinimo“ nefinansavimo.</w:t>
      </w:r>
    </w:p>
    <w:p w:rsidR="000C0866" w:rsidRPr="000C0866" w:rsidRDefault="000C0866" w:rsidP="00041D07">
      <w:pPr>
        <w:pStyle w:val="Sraopastraipa"/>
        <w:numPr>
          <w:ilvl w:val="0"/>
          <w:numId w:val="1"/>
        </w:numPr>
        <w:autoSpaceDE w:val="0"/>
        <w:autoSpaceDN w:val="0"/>
        <w:adjustRightInd w:val="0"/>
        <w:spacing w:after="0" w:line="240" w:lineRule="auto"/>
        <w:ind w:left="1134"/>
        <w:jc w:val="both"/>
        <w:rPr>
          <w:rFonts w:ascii="Times New Roman" w:hAnsi="Times New Roman" w:cs="Times New Roman"/>
        </w:rPr>
      </w:pPr>
      <w:r w:rsidRPr="000C0866">
        <w:rPr>
          <w:rFonts w:ascii="Times New Roman" w:hAnsi="Times New Roman" w:cs="Times New Roman"/>
          <w:b/>
        </w:rPr>
        <w:t xml:space="preserve">Palaikome PFSA </w:t>
      </w:r>
      <w:r w:rsidRPr="00F01C89">
        <w:rPr>
          <w:rFonts w:ascii="Times New Roman" w:hAnsi="Times New Roman" w:cs="Times New Roman"/>
          <w:b/>
        </w:rPr>
        <w:t xml:space="preserve">27 punkte </w:t>
      </w:r>
      <w:r w:rsidRPr="000C0866">
        <w:rPr>
          <w:rFonts w:ascii="Times New Roman" w:hAnsi="Times New Roman" w:cs="Times New Roman"/>
          <w:b/>
        </w:rPr>
        <w:t>į</w:t>
      </w:r>
      <w:r w:rsidRPr="00F01C89">
        <w:rPr>
          <w:rFonts w:ascii="Times New Roman" w:hAnsi="Times New Roman" w:cs="Times New Roman"/>
          <w:b/>
        </w:rPr>
        <w:t>vardint</w:t>
      </w:r>
      <w:r w:rsidRPr="000C0866">
        <w:rPr>
          <w:rFonts w:ascii="Times New Roman" w:hAnsi="Times New Roman" w:cs="Times New Roman"/>
          <w:b/>
        </w:rPr>
        <w:t>ą privalomą reikalavimą</w:t>
      </w:r>
      <w:r w:rsidRPr="000C0866">
        <w:rPr>
          <w:rFonts w:ascii="Times New Roman" w:hAnsi="Times New Roman" w:cs="Times New Roman"/>
        </w:rPr>
        <w:t>,  kad</w:t>
      </w:r>
      <w:r w:rsidRPr="000C0866">
        <w:rPr>
          <w:rFonts w:ascii="Times New Roman" w:hAnsi="Times New Roman"/>
        </w:rPr>
        <w:t xml:space="preserve"> inovacijų konsultacinės ir inovacijų paramos paslaugos galutiniams naudos gavėjams turi būti teikiamos nemokamai, vadovaujantis </w:t>
      </w:r>
      <w:proofErr w:type="spellStart"/>
      <w:r w:rsidRPr="000C0866">
        <w:rPr>
          <w:rFonts w:ascii="Times New Roman" w:eastAsia="Times New Roman" w:hAnsi="Times New Roman"/>
          <w:i/>
          <w:lang w:eastAsia="lt-LT"/>
        </w:rPr>
        <w:t>de</w:t>
      </w:r>
      <w:proofErr w:type="spellEnd"/>
      <w:r w:rsidR="00F01C89">
        <w:rPr>
          <w:rFonts w:ascii="Times New Roman" w:eastAsia="Times New Roman" w:hAnsi="Times New Roman"/>
          <w:i/>
          <w:lang w:eastAsia="lt-LT"/>
        </w:rPr>
        <w:t xml:space="preserve"> </w:t>
      </w:r>
      <w:proofErr w:type="spellStart"/>
      <w:r w:rsidRPr="000C0866">
        <w:rPr>
          <w:rFonts w:ascii="Times New Roman" w:eastAsia="Times New Roman" w:hAnsi="Times New Roman"/>
          <w:i/>
          <w:lang w:eastAsia="lt-LT"/>
        </w:rPr>
        <w:t>minimis</w:t>
      </w:r>
      <w:proofErr w:type="spellEnd"/>
      <w:r w:rsidRPr="000C0866">
        <w:rPr>
          <w:rFonts w:ascii="Times New Roman" w:eastAsia="Times New Roman" w:hAnsi="Times New Roman"/>
          <w:lang w:eastAsia="lt-LT"/>
        </w:rPr>
        <w:t xml:space="preserve"> pagalbos teikimo ir skaičiavimo (paskirstymo) galutiniams naudos gavėjams tvarkos aprašu, nes „nemokamų paslaugų“ </w:t>
      </w:r>
      <w:r w:rsidRPr="00FB4A60">
        <w:rPr>
          <w:rFonts w:ascii="Times New Roman" w:eastAsia="Times New Roman" w:hAnsi="Times New Roman"/>
          <w:lang w:eastAsia="lt-LT"/>
        </w:rPr>
        <w:t xml:space="preserve">pobūdis </w:t>
      </w:r>
      <w:r w:rsidR="00FB4A60" w:rsidRPr="00FB4A60">
        <w:rPr>
          <w:rFonts w:ascii="Times New Roman" w:eastAsia="Times New Roman" w:hAnsi="Times New Roman"/>
          <w:lang w:eastAsia="lt-LT"/>
        </w:rPr>
        <w:t xml:space="preserve">nepažeis konkurencijos </w:t>
      </w:r>
      <w:r w:rsidRPr="00FB4A60">
        <w:rPr>
          <w:rFonts w:ascii="Times New Roman" w:hAnsi="Times New Roman"/>
        </w:rPr>
        <w:t>inovacijų konsultacinių ir inovacijų paramos paslaug</w:t>
      </w:r>
      <w:r w:rsidRPr="00FB4A60">
        <w:rPr>
          <w:rFonts w:ascii="Times New Roman" w:eastAsia="Times New Roman" w:hAnsi="Times New Roman"/>
          <w:lang w:eastAsia="lt-LT"/>
        </w:rPr>
        <w:t>ų teikimo srityje</w:t>
      </w:r>
      <w:r w:rsidR="00FB4A60" w:rsidRPr="00FB4A60">
        <w:rPr>
          <w:rFonts w:ascii="Times New Roman" w:eastAsia="Times New Roman" w:hAnsi="Times New Roman"/>
          <w:lang w:eastAsia="lt-LT"/>
        </w:rPr>
        <w:t>, kas būtų neišvengiama dalinai mokamų paslaugų atveju.</w:t>
      </w:r>
    </w:p>
    <w:p w:rsidR="000C0866" w:rsidRPr="000C0866" w:rsidRDefault="000C0866" w:rsidP="00041D07">
      <w:pPr>
        <w:pStyle w:val="Sraopastraipa"/>
        <w:numPr>
          <w:ilvl w:val="0"/>
          <w:numId w:val="1"/>
        </w:numPr>
        <w:autoSpaceDE w:val="0"/>
        <w:autoSpaceDN w:val="0"/>
        <w:adjustRightInd w:val="0"/>
        <w:spacing w:after="0" w:line="240" w:lineRule="auto"/>
        <w:ind w:left="1134"/>
        <w:jc w:val="both"/>
        <w:rPr>
          <w:rFonts w:ascii="Times New Roman" w:hAnsi="Times New Roman" w:cs="Times New Roman"/>
        </w:rPr>
      </w:pPr>
      <w:r w:rsidRPr="000C0866">
        <w:rPr>
          <w:rFonts w:ascii="Times New Roman" w:eastAsia="Times New Roman" w:hAnsi="Times New Roman"/>
          <w:b/>
          <w:lang w:eastAsia="lt-LT"/>
        </w:rPr>
        <w:t xml:space="preserve">PFSA </w:t>
      </w:r>
      <w:r w:rsidRPr="00F01C89">
        <w:rPr>
          <w:rFonts w:ascii="Times New Roman" w:eastAsia="Times New Roman" w:hAnsi="Times New Roman"/>
          <w:b/>
          <w:lang w:eastAsia="lt-LT"/>
        </w:rPr>
        <w:t>27 punkte si</w:t>
      </w:r>
      <w:r w:rsidRPr="000C0866">
        <w:rPr>
          <w:rFonts w:ascii="Times New Roman" w:eastAsia="Times New Roman" w:hAnsi="Times New Roman"/>
          <w:b/>
          <w:lang w:eastAsia="lt-LT"/>
        </w:rPr>
        <w:t>ūlome</w:t>
      </w:r>
      <w:r w:rsidRPr="000C0866">
        <w:rPr>
          <w:rFonts w:ascii="Times New Roman" w:eastAsia="Times New Roman" w:hAnsi="Times New Roman"/>
          <w:lang w:eastAsia="lt-LT"/>
        </w:rPr>
        <w:t xml:space="preserve"> numatyti, projektų įgyvendinimo trukmė turi būti </w:t>
      </w:r>
      <w:r w:rsidRPr="00EC3008">
        <w:rPr>
          <w:rFonts w:ascii="Times New Roman" w:hAnsi="Times New Roman"/>
          <w:b/>
        </w:rPr>
        <w:t>ne ilgesnė kaip 3</w:t>
      </w:r>
      <w:r w:rsidRPr="00F01C89">
        <w:rPr>
          <w:rFonts w:ascii="Times New Roman" w:hAnsi="Times New Roman"/>
          <w:b/>
        </w:rPr>
        <w:t>6</w:t>
      </w:r>
      <w:r w:rsidRPr="00EC3008">
        <w:rPr>
          <w:rFonts w:ascii="Times New Roman" w:hAnsi="Times New Roman"/>
          <w:b/>
        </w:rPr>
        <w:t> mėnesiai</w:t>
      </w:r>
      <w:r w:rsidRPr="000C0866">
        <w:rPr>
          <w:rFonts w:ascii="Times New Roman" w:hAnsi="Times New Roman"/>
        </w:rPr>
        <w:t xml:space="preserve"> tam</w:t>
      </w:r>
      <w:r w:rsidR="005748B2">
        <w:rPr>
          <w:rFonts w:ascii="Times New Roman" w:hAnsi="Times New Roman"/>
        </w:rPr>
        <w:t>,</w:t>
      </w:r>
      <w:r w:rsidRPr="000C0866">
        <w:rPr>
          <w:rFonts w:ascii="Times New Roman" w:hAnsi="Times New Roman"/>
        </w:rPr>
        <w:t xml:space="preserve"> kad </w:t>
      </w:r>
      <w:r w:rsidRPr="000C0866">
        <w:rPr>
          <w:rFonts w:ascii="Times New Roman" w:hAnsi="Times New Roman" w:cs="Times New Roman"/>
          <w:iCs/>
        </w:rPr>
        <w:t>pasiekti tvarių pokyčių MTEPI aktyvinimo srityje.</w:t>
      </w:r>
    </w:p>
    <w:p w:rsidR="00A44B58" w:rsidRDefault="00A44B58" w:rsidP="00A44B58">
      <w:pPr>
        <w:pStyle w:val="Sraopastraipa"/>
        <w:numPr>
          <w:ilvl w:val="0"/>
          <w:numId w:val="1"/>
        </w:numPr>
        <w:autoSpaceDE w:val="0"/>
        <w:autoSpaceDN w:val="0"/>
        <w:adjustRightInd w:val="0"/>
        <w:spacing w:after="0" w:line="240" w:lineRule="auto"/>
        <w:ind w:left="1134"/>
        <w:jc w:val="both"/>
        <w:rPr>
          <w:rFonts w:ascii="Times New Roman" w:hAnsi="Times New Roman"/>
        </w:rPr>
      </w:pPr>
      <w:r w:rsidRPr="00A44B58">
        <w:rPr>
          <w:rFonts w:ascii="Times New Roman" w:hAnsi="Times New Roman"/>
        </w:rPr>
        <w:t>Siekiant  svarių ir ilgalaik</w:t>
      </w:r>
      <w:r w:rsidR="005748B2">
        <w:rPr>
          <w:rFonts w:ascii="Times New Roman" w:hAnsi="Times New Roman"/>
        </w:rPr>
        <w:t>i</w:t>
      </w:r>
      <w:r w:rsidRPr="00A44B58">
        <w:rPr>
          <w:rFonts w:ascii="Times New Roman" w:hAnsi="Times New Roman"/>
        </w:rPr>
        <w:t>ų pokyčių valstybės mastu, reikalinga atitinkama masto intervencija (investicija). Skaidymas tokios intervencijas (investicijos) ir  į smulkias dalis (atskirus pavienius projektus), kaip rodo praktika: (i) didina projektų administravimo kaštus; (</w:t>
      </w:r>
      <w:proofErr w:type="spellStart"/>
      <w:r w:rsidRPr="00A44B58">
        <w:rPr>
          <w:rFonts w:ascii="Times New Roman" w:hAnsi="Times New Roman"/>
        </w:rPr>
        <w:t>ii</w:t>
      </w:r>
      <w:proofErr w:type="spellEnd"/>
      <w:r w:rsidRPr="00A44B58">
        <w:rPr>
          <w:rFonts w:ascii="Times New Roman" w:hAnsi="Times New Roman"/>
        </w:rPr>
        <w:t>) didina projektų veiklų persidengimo ir dubliavimosi  tikimybę; (</w:t>
      </w:r>
      <w:proofErr w:type="spellStart"/>
      <w:r w:rsidRPr="00A44B58">
        <w:rPr>
          <w:rFonts w:ascii="Times New Roman" w:hAnsi="Times New Roman"/>
        </w:rPr>
        <w:t>iii</w:t>
      </w:r>
      <w:proofErr w:type="spellEnd"/>
      <w:r w:rsidRPr="00A44B58">
        <w:rPr>
          <w:rFonts w:ascii="Times New Roman" w:hAnsi="Times New Roman"/>
        </w:rPr>
        <w:t>) mažina investicijų sinerginį poveikį. Siekiant didinti investi</w:t>
      </w:r>
      <w:r w:rsidR="005748B2">
        <w:rPr>
          <w:rFonts w:ascii="Times New Roman" w:hAnsi="Times New Roman"/>
        </w:rPr>
        <w:t>ci</w:t>
      </w:r>
      <w:r w:rsidRPr="00A44B58">
        <w:rPr>
          <w:rFonts w:ascii="Times New Roman" w:hAnsi="Times New Roman"/>
        </w:rPr>
        <w:t>jų ef</w:t>
      </w:r>
      <w:r w:rsidR="005748B2">
        <w:rPr>
          <w:rFonts w:ascii="Times New Roman" w:hAnsi="Times New Roman"/>
        </w:rPr>
        <w:t xml:space="preserve">ektyvumą „valstybės planavimo“ </w:t>
      </w:r>
      <w:r w:rsidRPr="00A44B58">
        <w:rPr>
          <w:rFonts w:ascii="Times New Roman" w:hAnsi="Times New Roman"/>
        </w:rPr>
        <w:t xml:space="preserve">būdu, </w:t>
      </w:r>
      <w:r w:rsidR="005748B2">
        <w:rPr>
          <w:rFonts w:ascii="Times New Roman" w:hAnsi="Times New Roman"/>
        </w:rPr>
        <w:t>s</w:t>
      </w:r>
      <w:r w:rsidRPr="00A44B58">
        <w:rPr>
          <w:rFonts w:ascii="Times New Roman" w:hAnsi="Times New Roman"/>
          <w:b/>
        </w:rPr>
        <w:t>iūlome</w:t>
      </w:r>
      <w:r w:rsidRPr="00A44B58">
        <w:rPr>
          <w:rFonts w:ascii="Times New Roman" w:hAnsi="Times New Roman"/>
        </w:rPr>
        <w:t xml:space="preserve"> </w:t>
      </w:r>
      <w:r>
        <w:rPr>
          <w:rFonts w:ascii="Times New Roman" w:hAnsi="Times New Roman"/>
        </w:rPr>
        <w:t xml:space="preserve">PFSA 41 punkte įvardintą </w:t>
      </w:r>
      <w:r w:rsidRPr="00A44B58">
        <w:rPr>
          <w:rFonts w:ascii="Times New Roman" w:hAnsi="Times New Roman"/>
        </w:rPr>
        <w:t xml:space="preserve">didžiausią projektui galimą skirti finansavimo lėšų </w:t>
      </w:r>
      <w:r w:rsidRPr="00A44B58">
        <w:rPr>
          <w:rFonts w:ascii="Times New Roman" w:hAnsi="Times New Roman"/>
          <w:b/>
        </w:rPr>
        <w:t xml:space="preserve">suma padidinti iki 4 000 </w:t>
      </w:r>
      <w:proofErr w:type="spellStart"/>
      <w:r w:rsidRPr="00A44B58">
        <w:rPr>
          <w:rFonts w:ascii="Times New Roman" w:hAnsi="Times New Roman"/>
          <w:b/>
        </w:rPr>
        <w:t>000</w:t>
      </w:r>
      <w:proofErr w:type="spellEnd"/>
      <w:r w:rsidRPr="00A44B58">
        <w:rPr>
          <w:rFonts w:ascii="Times New Roman" w:hAnsi="Times New Roman"/>
          <w:b/>
        </w:rPr>
        <w:t xml:space="preserve"> </w:t>
      </w:r>
      <w:proofErr w:type="spellStart"/>
      <w:r w:rsidRPr="00A44B58">
        <w:rPr>
          <w:rFonts w:ascii="Times New Roman" w:hAnsi="Times New Roman"/>
          <w:b/>
        </w:rPr>
        <w:t>Eur</w:t>
      </w:r>
      <w:proofErr w:type="spellEnd"/>
      <w:r w:rsidRPr="00A44B58">
        <w:rPr>
          <w:rFonts w:ascii="Times New Roman" w:hAnsi="Times New Roman"/>
        </w:rPr>
        <w:t>.</w:t>
      </w:r>
    </w:p>
    <w:p w:rsidR="00B80C11" w:rsidRDefault="003E234D" w:rsidP="00A44B58">
      <w:pPr>
        <w:pStyle w:val="Sraopastraipa"/>
        <w:numPr>
          <w:ilvl w:val="0"/>
          <w:numId w:val="1"/>
        </w:numPr>
        <w:autoSpaceDE w:val="0"/>
        <w:autoSpaceDN w:val="0"/>
        <w:adjustRightInd w:val="0"/>
        <w:spacing w:after="0" w:line="240" w:lineRule="auto"/>
        <w:ind w:left="1134"/>
        <w:jc w:val="both"/>
        <w:rPr>
          <w:rFonts w:ascii="Times New Roman" w:hAnsi="Times New Roman"/>
        </w:rPr>
      </w:pPr>
      <w:r>
        <w:rPr>
          <w:rFonts w:ascii="Times New Roman" w:hAnsi="Times New Roman"/>
        </w:rPr>
        <w:t>PFSA 42 punkt</w:t>
      </w:r>
      <w:r w:rsidR="001539F5">
        <w:rPr>
          <w:rFonts w:ascii="Times New Roman" w:hAnsi="Times New Roman"/>
        </w:rPr>
        <w:t>o papunkčiuose</w:t>
      </w:r>
      <w:r>
        <w:rPr>
          <w:rFonts w:ascii="Times New Roman" w:hAnsi="Times New Roman"/>
        </w:rPr>
        <w:t xml:space="preserve"> įvardintos didžiausios galimos projekto finansavimo dalys, įgalinančios taikyti skirtingą finansavimo intensyvumą</w:t>
      </w:r>
      <w:r w:rsidR="00B80C11">
        <w:rPr>
          <w:rFonts w:ascii="Times New Roman" w:hAnsi="Times New Roman"/>
        </w:rPr>
        <w:t xml:space="preserve"> pagal partnerio pobūdį </w:t>
      </w:r>
      <w:r w:rsidR="00B80C11" w:rsidRPr="001539F5">
        <w:rPr>
          <w:rFonts w:ascii="Times New Roman" w:hAnsi="Times New Roman"/>
          <w:i/>
        </w:rPr>
        <w:t>turi diskriminacinį pobūdį ir galima pažeidžia konkurenciją</w:t>
      </w:r>
      <w:r w:rsidR="00B80C11">
        <w:rPr>
          <w:rFonts w:ascii="Times New Roman" w:hAnsi="Times New Roman"/>
        </w:rPr>
        <w:t>, nes:</w:t>
      </w:r>
    </w:p>
    <w:p w:rsidR="00B80C11" w:rsidRPr="00B80C11" w:rsidRDefault="00B80C11" w:rsidP="00B80C11">
      <w:pPr>
        <w:pStyle w:val="Sraopastraipa"/>
        <w:numPr>
          <w:ilvl w:val="1"/>
          <w:numId w:val="1"/>
        </w:numPr>
        <w:autoSpaceDE w:val="0"/>
        <w:autoSpaceDN w:val="0"/>
        <w:adjustRightInd w:val="0"/>
        <w:spacing w:after="0" w:line="240" w:lineRule="auto"/>
        <w:ind w:left="1843"/>
        <w:jc w:val="both"/>
        <w:rPr>
          <w:rFonts w:ascii="Times New Roman" w:hAnsi="Times New Roman"/>
        </w:rPr>
      </w:pPr>
      <w:r w:rsidRPr="00066B8F">
        <w:rPr>
          <w:rFonts w:ascii="Times New Roman" w:hAnsi="Times New Roman" w:cs="Times New Roman"/>
        </w:rPr>
        <w:t xml:space="preserve">Bendrijos </w:t>
      </w:r>
      <w:r w:rsidRPr="001539F5">
        <w:rPr>
          <w:rFonts w:ascii="Times New Roman" w:hAnsi="Times New Roman" w:cs="Times New Roman"/>
          <w:bCs/>
        </w:rPr>
        <w:t>Bend</w:t>
      </w:r>
      <w:r w:rsidR="005748B2">
        <w:rPr>
          <w:rFonts w:ascii="Times New Roman" w:hAnsi="Times New Roman" w:cs="Times New Roman"/>
          <w:bCs/>
        </w:rPr>
        <w:t>rosios išimties reglamentas, reg</w:t>
      </w:r>
      <w:r w:rsidRPr="001539F5">
        <w:rPr>
          <w:rFonts w:ascii="Times New Roman" w:hAnsi="Times New Roman" w:cs="Times New Roman"/>
          <w:bCs/>
        </w:rPr>
        <w:t>lamentuodamas inovacijų konsultavimo ir inovacijų paramos pasl</w:t>
      </w:r>
      <w:r w:rsidRPr="00066B8F">
        <w:rPr>
          <w:rFonts w:ascii="Times New Roman" w:hAnsi="Times New Roman" w:cs="Times New Roman"/>
          <w:bCs/>
        </w:rPr>
        <w:t>augos</w:t>
      </w:r>
      <w:r>
        <w:rPr>
          <w:rFonts w:ascii="Times New Roman" w:hAnsi="Times New Roman" w:cs="Times New Roman"/>
          <w:bCs/>
        </w:rPr>
        <w:t xml:space="preserve"> teikimą nenumato jokių išlygų, kurių </w:t>
      </w:r>
      <w:r w:rsidR="005748B2">
        <w:rPr>
          <w:rFonts w:ascii="Times New Roman" w:hAnsi="Times New Roman" w:cs="Times New Roman"/>
          <w:bCs/>
        </w:rPr>
        <w:t>pa</w:t>
      </w:r>
      <w:r>
        <w:rPr>
          <w:rFonts w:ascii="Times New Roman" w:hAnsi="Times New Roman" w:cs="Times New Roman"/>
          <w:bCs/>
        </w:rPr>
        <w:t>grindu būtų galima taikyti skirtingas sąlygas</w:t>
      </w:r>
      <w:r w:rsidR="005748B2">
        <w:rPr>
          <w:rFonts w:ascii="Times New Roman" w:hAnsi="Times New Roman" w:cs="Times New Roman"/>
          <w:bCs/>
        </w:rPr>
        <w:t>,</w:t>
      </w:r>
      <w:r>
        <w:rPr>
          <w:rFonts w:ascii="Times New Roman" w:hAnsi="Times New Roman" w:cs="Times New Roman"/>
          <w:bCs/>
        </w:rPr>
        <w:t xml:space="preserve"> priklausomai nuo to, koks subjektas tas paslaugas teikia ūkio subjektams;</w:t>
      </w:r>
    </w:p>
    <w:p w:rsidR="00A44B58" w:rsidRPr="001539F5" w:rsidRDefault="00B80C11" w:rsidP="00B80C11">
      <w:pPr>
        <w:pStyle w:val="Sraopastraipa"/>
        <w:numPr>
          <w:ilvl w:val="1"/>
          <w:numId w:val="1"/>
        </w:numPr>
        <w:autoSpaceDE w:val="0"/>
        <w:autoSpaceDN w:val="0"/>
        <w:adjustRightInd w:val="0"/>
        <w:spacing w:after="0" w:line="240" w:lineRule="auto"/>
        <w:ind w:left="1843"/>
        <w:jc w:val="both"/>
        <w:rPr>
          <w:rFonts w:ascii="Times New Roman" w:hAnsi="Times New Roman"/>
        </w:rPr>
      </w:pPr>
      <w:r>
        <w:rPr>
          <w:rFonts w:ascii="Times New Roman" w:hAnsi="Times New Roman" w:cs="Times New Roman"/>
          <w:bCs/>
        </w:rPr>
        <w:t xml:space="preserve">EK reglamentas dėl </w:t>
      </w:r>
      <w:proofErr w:type="spellStart"/>
      <w:r w:rsidRPr="005748B2">
        <w:rPr>
          <w:rFonts w:ascii="Times New Roman" w:hAnsi="Times New Roman" w:cs="Times New Roman"/>
          <w:bCs/>
          <w:i/>
        </w:rPr>
        <w:t>de</w:t>
      </w:r>
      <w:proofErr w:type="spellEnd"/>
      <w:r w:rsidR="005748B2" w:rsidRPr="005748B2">
        <w:rPr>
          <w:rFonts w:ascii="Times New Roman" w:hAnsi="Times New Roman" w:cs="Times New Roman"/>
          <w:bCs/>
          <w:i/>
        </w:rPr>
        <w:t xml:space="preserve"> </w:t>
      </w:r>
      <w:proofErr w:type="spellStart"/>
      <w:r w:rsidRPr="005748B2">
        <w:rPr>
          <w:rFonts w:ascii="Times New Roman" w:hAnsi="Times New Roman" w:cs="Times New Roman"/>
          <w:bCs/>
          <w:i/>
        </w:rPr>
        <w:t>miminis</w:t>
      </w:r>
      <w:proofErr w:type="spellEnd"/>
      <w:r>
        <w:rPr>
          <w:rFonts w:ascii="Times New Roman" w:hAnsi="Times New Roman" w:cs="Times New Roman"/>
          <w:bCs/>
        </w:rPr>
        <w:t xml:space="preserve"> taikymo, taip pat nenumato jok</w:t>
      </w:r>
      <w:r w:rsidR="005748B2">
        <w:rPr>
          <w:rFonts w:ascii="Times New Roman" w:hAnsi="Times New Roman" w:cs="Times New Roman"/>
          <w:bCs/>
        </w:rPr>
        <w:t>i</w:t>
      </w:r>
      <w:r>
        <w:rPr>
          <w:rFonts w:ascii="Times New Roman" w:hAnsi="Times New Roman" w:cs="Times New Roman"/>
          <w:bCs/>
        </w:rPr>
        <w:t>ų išlygų</w:t>
      </w:r>
      <w:r w:rsidRPr="00066B8F">
        <w:rPr>
          <w:rFonts w:ascii="Times New Roman" w:hAnsi="Times New Roman" w:cs="Times New Roman"/>
          <w:bCs/>
        </w:rPr>
        <w:t>, kuri</w:t>
      </w:r>
      <w:r>
        <w:rPr>
          <w:rFonts w:ascii="Times New Roman" w:hAnsi="Times New Roman" w:cs="Times New Roman"/>
          <w:bCs/>
        </w:rPr>
        <w:t>ų pagrindu gali būti taikomi skirtingi reikalavimai atitinkamų paslaugų teikimui</w:t>
      </w:r>
      <w:r w:rsidR="001539F5">
        <w:rPr>
          <w:rFonts w:ascii="Times New Roman" w:hAnsi="Times New Roman" w:cs="Times New Roman"/>
          <w:bCs/>
        </w:rPr>
        <w:t>, priklausomai nuo to, kas tas paslaugas teikia;</w:t>
      </w:r>
    </w:p>
    <w:p w:rsidR="001539F5" w:rsidRPr="001539F5" w:rsidRDefault="001539F5" w:rsidP="00B80C11">
      <w:pPr>
        <w:pStyle w:val="Sraopastraipa"/>
        <w:numPr>
          <w:ilvl w:val="1"/>
          <w:numId w:val="1"/>
        </w:numPr>
        <w:autoSpaceDE w:val="0"/>
        <w:autoSpaceDN w:val="0"/>
        <w:adjustRightInd w:val="0"/>
        <w:spacing w:after="0" w:line="240" w:lineRule="auto"/>
        <w:ind w:left="1843"/>
        <w:jc w:val="both"/>
        <w:rPr>
          <w:rFonts w:ascii="Times New Roman" w:hAnsi="Times New Roman"/>
        </w:rPr>
      </w:pPr>
      <w:r>
        <w:rPr>
          <w:rFonts w:ascii="Times New Roman" w:hAnsi="Times New Roman" w:cs="Times New Roman"/>
        </w:rPr>
        <w:t xml:space="preserve">ES teisės ir normatyviniai aktai (pavyzdžiui, </w:t>
      </w:r>
      <w:r w:rsidRPr="00066B8F">
        <w:rPr>
          <w:rFonts w:ascii="Times New Roman" w:hAnsi="Times New Roman" w:cs="Times New Roman"/>
          <w:iCs/>
        </w:rPr>
        <w:t>Komisijos komunikat</w:t>
      </w:r>
      <w:r>
        <w:rPr>
          <w:rFonts w:ascii="Times New Roman" w:hAnsi="Times New Roman" w:cs="Times New Roman"/>
          <w:iCs/>
        </w:rPr>
        <w:t>as</w:t>
      </w:r>
      <w:r w:rsidRPr="00066B8F">
        <w:rPr>
          <w:rFonts w:ascii="Times New Roman" w:hAnsi="Times New Roman" w:cs="Times New Roman"/>
          <w:iCs/>
        </w:rPr>
        <w:t xml:space="preserve"> dėl Struktūrinės valstybės pagalbo</w:t>
      </w:r>
      <w:r w:rsidR="005748B2">
        <w:rPr>
          <w:rFonts w:ascii="Times New Roman" w:hAnsi="Times New Roman" w:cs="Times New Roman"/>
          <w:iCs/>
        </w:rPr>
        <w:t>s</w:t>
      </w:r>
      <w:r w:rsidRPr="00066B8F">
        <w:rPr>
          <w:rFonts w:ascii="Times New Roman" w:hAnsi="Times New Roman" w:cs="Times New Roman"/>
          <w:iCs/>
        </w:rPr>
        <w:t xml:space="preserve"> tyrimams ir plėtrai, ir inovacijoms</w:t>
      </w:r>
      <w:r>
        <w:rPr>
          <w:rFonts w:ascii="Times New Roman" w:hAnsi="Times New Roman" w:cs="Times New Roman"/>
          <w:iCs/>
        </w:rPr>
        <w:t xml:space="preserve">; </w:t>
      </w:r>
      <w:r w:rsidRPr="00066B8F">
        <w:rPr>
          <w:rFonts w:ascii="Times New Roman" w:hAnsi="Times New Roman" w:cs="Times New Roman"/>
        </w:rPr>
        <w:t xml:space="preserve">Bendrijos </w:t>
      </w:r>
      <w:r w:rsidRPr="001539F5">
        <w:rPr>
          <w:rFonts w:ascii="Times New Roman" w:hAnsi="Times New Roman" w:cs="Times New Roman"/>
          <w:bCs/>
        </w:rPr>
        <w:t>Bendrosios išimties reglamentas</w:t>
      </w:r>
      <w:r w:rsidR="005748B2">
        <w:rPr>
          <w:rFonts w:ascii="Times New Roman" w:hAnsi="Times New Roman" w:cs="Times New Roman"/>
          <w:bCs/>
        </w:rPr>
        <w:t xml:space="preserve"> ir kt.) numato</w:t>
      </w:r>
      <w:r>
        <w:rPr>
          <w:rFonts w:ascii="Times New Roman" w:hAnsi="Times New Roman" w:cs="Times New Roman"/>
          <w:bCs/>
        </w:rPr>
        <w:t xml:space="preserve"> galimybę taikyti skirtingą finansavimo intensyvumą tik priklausomai nuo to, (i) kas yra pagalbos gavėjas; (</w:t>
      </w:r>
      <w:proofErr w:type="spellStart"/>
      <w:r>
        <w:rPr>
          <w:rFonts w:ascii="Times New Roman" w:hAnsi="Times New Roman" w:cs="Times New Roman"/>
          <w:bCs/>
        </w:rPr>
        <w:t>ii</w:t>
      </w:r>
      <w:proofErr w:type="spellEnd"/>
      <w:r>
        <w:rPr>
          <w:rFonts w:ascii="Times New Roman" w:hAnsi="Times New Roman" w:cs="Times New Roman"/>
          <w:bCs/>
        </w:rPr>
        <w:t>) kokio paslauga teikiama.</w:t>
      </w:r>
    </w:p>
    <w:p w:rsidR="00D92D9E" w:rsidRDefault="00D92D9E" w:rsidP="001539F5">
      <w:pPr>
        <w:autoSpaceDE w:val="0"/>
        <w:autoSpaceDN w:val="0"/>
        <w:adjustRightInd w:val="0"/>
        <w:spacing w:after="0" w:line="240" w:lineRule="auto"/>
        <w:ind w:left="1134"/>
        <w:jc w:val="both"/>
        <w:rPr>
          <w:rFonts w:ascii="Times New Roman" w:hAnsi="Times New Roman"/>
        </w:rPr>
      </w:pPr>
      <w:r>
        <w:rPr>
          <w:rFonts w:ascii="Times New Roman" w:hAnsi="Times New Roman"/>
        </w:rPr>
        <w:t xml:space="preserve">Mūsų manymu, </w:t>
      </w:r>
      <w:r w:rsidR="0009256E">
        <w:rPr>
          <w:rFonts w:ascii="Times New Roman" w:hAnsi="Times New Roman"/>
        </w:rPr>
        <w:t xml:space="preserve">ES </w:t>
      </w:r>
      <w:r w:rsidR="0009256E" w:rsidRPr="00D92D9E">
        <w:rPr>
          <w:rFonts w:ascii="Times New Roman" w:hAnsi="Times New Roman"/>
        </w:rPr>
        <w:t xml:space="preserve">teisės ir normatyviniai aktai </w:t>
      </w:r>
      <w:r w:rsidRPr="006048F3">
        <w:rPr>
          <w:rFonts w:ascii="Times New Roman" w:hAnsi="Times New Roman"/>
          <w:i/>
        </w:rPr>
        <w:t>nedraudžia</w:t>
      </w:r>
      <w:r w:rsidR="0009256E" w:rsidRPr="006048F3">
        <w:rPr>
          <w:rFonts w:ascii="Times New Roman" w:hAnsi="Times New Roman"/>
          <w:i/>
        </w:rPr>
        <w:t xml:space="preserve"> </w:t>
      </w:r>
      <w:r w:rsidRPr="006048F3">
        <w:rPr>
          <w:rFonts w:ascii="Times New Roman" w:hAnsi="Times New Roman"/>
          <w:i/>
        </w:rPr>
        <w:t>visais atvejais kompensuoti 100 proc. visų tinkamų finansuoti projekto išlaidų</w:t>
      </w:r>
      <w:r w:rsidRPr="00D92D9E">
        <w:rPr>
          <w:rFonts w:ascii="Times New Roman" w:hAnsi="Times New Roman"/>
        </w:rPr>
        <w:t>, patiriamų vykdant PFSA 10.1 ir 10.2 punktuose įvardintas veiklas</w:t>
      </w:r>
      <w:r w:rsidR="0009256E" w:rsidRPr="00D92D9E">
        <w:rPr>
          <w:rFonts w:ascii="Times New Roman" w:hAnsi="Times New Roman"/>
        </w:rPr>
        <w:t xml:space="preserve">, </w:t>
      </w:r>
      <w:r w:rsidRPr="00D92D9E">
        <w:rPr>
          <w:rFonts w:ascii="Times New Roman" w:hAnsi="Times New Roman"/>
        </w:rPr>
        <w:t xml:space="preserve">jei </w:t>
      </w:r>
      <w:r w:rsidR="0009256E" w:rsidRPr="00D92D9E">
        <w:rPr>
          <w:rFonts w:ascii="Times New Roman" w:hAnsi="Times New Roman"/>
        </w:rPr>
        <w:t xml:space="preserve">galutiniams naudos gavėjams inovacijų konsultacinės ir inovacijų paramos paslaugos </w:t>
      </w:r>
      <w:r w:rsidRPr="00D92D9E">
        <w:rPr>
          <w:rFonts w:ascii="Times New Roman" w:hAnsi="Times New Roman"/>
        </w:rPr>
        <w:t xml:space="preserve">bus </w:t>
      </w:r>
      <w:r w:rsidR="0009256E" w:rsidRPr="00D92D9E">
        <w:rPr>
          <w:rFonts w:ascii="Times New Roman" w:hAnsi="Times New Roman"/>
        </w:rPr>
        <w:t xml:space="preserve">teikiamos nemokamai, o jiems suteikta nauda yra </w:t>
      </w:r>
      <w:proofErr w:type="spellStart"/>
      <w:r w:rsidR="0009256E" w:rsidRPr="005748B2">
        <w:rPr>
          <w:rFonts w:ascii="Times New Roman" w:hAnsi="Times New Roman"/>
          <w:i/>
        </w:rPr>
        <w:t>de</w:t>
      </w:r>
      <w:proofErr w:type="spellEnd"/>
      <w:r w:rsidR="005748B2" w:rsidRPr="005748B2">
        <w:rPr>
          <w:rFonts w:ascii="Times New Roman" w:hAnsi="Times New Roman"/>
          <w:i/>
        </w:rPr>
        <w:t xml:space="preserve"> </w:t>
      </w:r>
      <w:proofErr w:type="spellStart"/>
      <w:r w:rsidR="0009256E" w:rsidRPr="005748B2">
        <w:rPr>
          <w:rFonts w:ascii="Times New Roman" w:hAnsi="Times New Roman"/>
          <w:i/>
        </w:rPr>
        <w:t>minimis</w:t>
      </w:r>
      <w:proofErr w:type="spellEnd"/>
      <w:r w:rsidR="0009256E" w:rsidRPr="00D92D9E">
        <w:rPr>
          <w:rFonts w:ascii="Times New Roman" w:hAnsi="Times New Roman"/>
        </w:rPr>
        <w:t xml:space="preserve"> pagalba</w:t>
      </w:r>
      <w:r>
        <w:rPr>
          <w:rFonts w:ascii="Times New Roman" w:hAnsi="Times New Roman"/>
        </w:rPr>
        <w:t>, nepriklausimai nuo to tas veiklas vykdo:</w:t>
      </w:r>
    </w:p>
    <w:p w:rsidR="00D92D9E" w:rsidRPr="00D92D9E" w:rsidRDefault="00D92D9E" w:rsidP="00D92D9E">
      <w:pPr>
        <w:pStyle w:val="Sraopastraipa"/>
        <w:numPr>
          <w:ilvl w:val="0"/>
          <w:numId w:val="7"/>
        </w:numPr>
        <w:autoSpaceDE w:val="0"/>
        <w:autoSpaceDN w:val="0"/>
        <w:adjustRightInd w:val="0"/>
        <w:spacing w:after="0" w:line="240" w:lineRule="auto"/>
        <w:jc w:val="both"/>
        <w:rPr>
          <w:rFonts w:ascii="Times New Roman" w:hAnsi="Times New Roman"/>
        </w:rPr>
      </w:pPr>
      <w:r>
        <w:rPr>
          <w:rFonts w:ascii="Times New Roman" w:hAnsi="Times New Roman"/>
        </w:rPr>
        <w:t xml:space="preserve">ar </w:t>
      </w:r>
      <w:r w:rsidRPr="00D92D9E">
        <w:rPr>
          <w:rFonts w:ascii="Times New Roman" w:hAnsi="Times New Roman"/>
        </w:rPr>
        <w:t>Mokslo, inovacijų ir technologijų agentūra;</w:t>
      </w:r>
    </w:p>
    <w:p w:rsidR="00D92D9E" w:rsidRDefault="00D92D9E" w:rsidP="00D92D9E">
      <w:pPr>
        <w:pStyle w:val="Sraopastraipa"/>
        <w:numPr>
          <w:ilvl w:val="0"/>
          <w:numId w:val="7"/>
        </w:numPr>
        <w:autoSpaceDE w:val="0"/>
        <w:autoSpaceDN w:val="0"/>
        <w:adjustRightInd w:val="0"/>
        <w:spacing w:after="0" w:line="240" w:lineRule="auto"/>
        <w:jc w:val="both"/>
        <w:rPr>
          <w:rFonts w:ascii="Times New Roman" w:hAnsi="Times New Roman"/>
        </w:rPr>
      </w:pPr>
      <w:r>
        <w:rPr>
          <w:rFonts w:ascii="Times New Roman" w:hAnsi="Times New Roman"/>
        </w:rPr>
        <w:t>ar partneriai:</w:t>
      </w:r>
    </w:p>
    <w:p w:rsidR="00D92D9E" w:rsidRDefault="00D92D9E" w:rsidP="00D92D9E">
      <w:pPr>
        <w:pStyle w:val="Sraopastraipa"/>
        <w:numPr>
          <w:ilvl w:val="1"/>
          <w:numId w:val="7"/>
        </w:numPr>
        <w:autoSpaceDE w:val="0"/>
        <w:autoSpaceDN w:val="0"/>
        <w:adjustRightInd w:val="0"/>
        <w:spacing w:after="0" w:line="240" w:lineRule="auto"/>
        <w:jc w:val="both"/>
        <w:rPr>
          <w:rFonts w:ascii="Times New Roman" w:hAnsi="Times New Roman"/>
        </w:rPr>
      </w:pPr>
      <w:r w:rsidRPr="00D92D9E">
        <w:rPr>
          <w:rFonts w:ascii="Times New Roman" w:hAnsi="Times New Roman"/>
        </w:rPr>
        <w:t>viešosios įstaigos, kurių pagrindinė veikla yra teikti inovacijų konsultavimo ir (ar) inovacijų paramos ir (ar) verslumo skatinimo ir įmonių konkurencingumo didinimo paslaugas, ir kurių dalininkė yra valstybė</w:t>
      </w:r>
      <w:r>
        <w:rPr>
          <w:rFonts w:ascii="Times New Roman" w:hAnsi="Times New Roman"/>
        </w:rPr>
        <w:t>;</w:t>
      </w:r>
    </w:p>
    <w:p w:rsidR="00D92D9E" w:rsidRDefault="00D92D9E" w:rsidP="00D92D9E">
      <w:pPr>
        <w:pStyle w:val="Sraopastraipa"/>
        <w:numPr>
          <w:ilvl w:val="1"/>
          <w:numId w:val="7"/>
        </w:numPr>
        <w:autoSpaceDE w:val="0"/>
        <w:autoSpaceDN w:val="0"/>
        <w:adjustRightInd w:val="0"/>
        <w:spacing w:after="0" w:line="240" w:lineRule="auto"/>
        <w:jc w:val="both"/>
        <w:rPr>
          <w:rFonts w:ascii="Times New Roman" w:hAnsi="Times New Roman"/>
        </w:rPr>
      </w:pPr>
      <w:r w:rsidRPr="00D92D9E">
        <w:rPr>
          <w:rFonts w:ascii="Times New Roman" w:hAnsi="Times New Roman"/>
        </w:rPr>
        <w:t>nacionalinės verslo asociatyvinės struktūros, vienijančios regionines ir šakines verslo asociacijas (įskaitant prekybos, pramonės ir amatų rūmus), kurių nariai vykdo MTEPI veiklas</w:t>
      </w:r>
      <w:r>
        <w:rPr>
          <w:rFonts w:ascii="Times New Roman" w:hAnsi="Times New Roman"/>
        </w:rPr>
        <w:t>.</w:t>
      </w:r>
    </w:p>
    <w:p w:rsidR="00D92D9E" w:rsidRDefault="00D92D9E" w:rsidP="00D92D9E">
      <w:pPr>
        <w:autoSpaceDE w:val="0"/>
        <w:autoSpaceDN w:val="0"/>
        <w:adjustRightInd w:val="0"/>
        <w:spacing w:after="0" w:line="240" w:lineRule="auto"/>
        <w:ind w:left="1134"/>
        <w:jc w:val="both"/>
        <w:rPr>
          <w:rFonts w:ascii="Times New Roman" w:hAnsi="Times New Roman"/>
        </w:rPr>
      </w:pPr>
      <w:r w:rsidRPr="00D92D9E">
        <w:rPr>
          <w:rFonts w:ascii="Times New Roman" w:hAnsi="Times New Roman"/>
        </w:rPr>
        <w:lastRenderedPageBreak/>
        <w:t xml:space="preserve">Atsižvelgiant tai, kad priemonės tikslas – teikiant inovacijų konsultacines ir inovacijų paramos paslaugas įmonėms, didinti įmonių </w:t>
      </w:r>
      <w:proofErr w:type="spellStart"/>
      <w:r w:rsidRPr="00D92D9E">
        <w:rPr>
          <w:rFonts w:ascii="Times New Roman" w:hAnsi="Times New Roman"/>
        </w:rPr>
        <w:t>inovatyvumą</w:t>
      </w:r>
      <w:proofErr w:type="spellEnd"/>
      <w:r w:rsidRPr="00D92D9E">
        <w:rPr>
          <w:rFonts w:ascii="Times New Roman" w:hAnsi="Times New Roman"/>
        </w:rPr>
        <w:t>, kartu siekiant sukurti efektyviai veikiančią žinių sklaidos terpę, kuri skatintų šalies įmones aktyviau plėtoti</w:t>
      </w:r>
      <w:r w:rsidR="005748B2">
        <w:rPr>
          <w:rFonts w:ascii="Times New Roman" w:hAnsi="Times New Roman"/>
        </w:rPr>
        <w:t xml:space="preserve"> </w:t>
      </w:r>
      <w:r w:rsidRPr="00D92D9E">
        <w:rPr>
          <w:rFonts w:ascii="Times New Roman" w:hAnsi="Times New Roman"/>
        </w:rPr>
        <w:t xml:space="preserve">mokslinių tyrimų, eksperimentinės plėtros ir inovacijų veiklas, kurios turi padidintą riziką bei kurių vykdymas daro ypač didelį Lietuvai, </w:t>
      </w:r>
      <w:r w:rsidRPr="00D92D9E">
        <w:rPr>
          <w:rFonts w:ascii="Times New Roman" w:hAnsi="Times New Roman"/>
          <w:b/>
        </w:rPr>
        <w:t xml:space="preserve">siūlome visais atvejais kompensuoti 100 proc. visų tinkamų finansuoti projekto išlaidų, </w:t>
      </w:r>
      <w:r w:rsidRPr="006048F3">
        <w:rPr>
          <w:rFonts w:ascii="Times New Roman" w:hAnsi="Times New Roman"/>
        </w:rPr>
        <w:t>patiriamų vykdant PFSA 10.1 ir 10.2 punktuose įvardintas veiklas</w:t>
      </w:r>
      <w:r>
        <w:rPr>
          <w:rFonts w:ascii="Times New Roman" w:hAnsi="Times New Roman"/>
        </w:rPr>
        <w:t>.</w:t>
      </w:r>
    </w:p>
    <w:p w:rsidR="006048F3" w:rsidRDefault="006048F3" w:rsidP="00D92D9E">
      <w:pPr>
        <w:autoSpaceDE w:val="0"/>
        <w:autoSpaceDN w:val="0"/>
        <w:adjustRightInd w:val="0"/>
        <w:spacing w:after="0" w:line="240" w:lineRule="auto"/>
        <w:ind w:left="1134"/>
        <w:jc w:val="both"/>
        <w:rPr>
          <w:rFonts w:ascii="Times New Roman" w:hAnsi="Times New Roman"/>
        </w:rPr>
      </w:pPr>
      <w:r>
        <w:rPr>
          <w:rFonts w:ascii="Times New Roman" w:hAnsi="Times New Roman"/>
        </w:rPr>
        <w:t xml:space="preserve">Jei visgi yra siekis ir realios galimybės pritraukti papildomą finansavimą, kai projekto vykdytojai prisidėtų nuosavomis lėšomis prie </w:t>
      </w:r>
      <w:r w:rsidRPr="006048F3">
        <w:rPr>
          <w:rFonts w:ascii="Times New Roman" w:hAnsi="Times New Roman"/>
        </w:rPr>
        <w:t>PFSA 10.1 ir 10.2 punktuose įvardint</w:t>
      </w:r>
      <w:r>
        <w:rPr>
          <w:rFonts w:ascii="Times New Roman" w:hAnsi="Times New Roman"/>
        </w:rPr>
        <w:t xml:space="preserve">ų </w:t>
      </w:r>
      <w:r w:rsidRPr="006048F3">
        <w:rPr>
          <w:rFonts w:ascii="Times New Roman" w:hAnsi="Times New Roman"/>
        </w:rPr>
        <w:t>veikl</w:t>
      </w:r>
      <w:r>
        <w:rPr>
          <w:rFonts w:ascii="Times New Roman" w:hAnsi="Times New Roman"/>
        </w:rPr>
        <w:t xml:space="preserve">ų vykdymo, </w:t>
      </w:r>
      <w:r w:rsidRPr="006048F3">
        <w:rPr>
          <w:rFonts w:ascii="Times New Roman" w:hAnsi="Times New Roman"/>
          <w:b/>
        </w:rPr>
        <w:t>kaip alternatyvą, siūlome</w:t>
      </w:r>
      <w:r>
        <w:rPr>
          <w:rFonts w:ascii="Times New Roman" w:hAnsi="Times New Roman"/>
        </w:rPr>
        <w:t xml:space="preserve"> numatyti, kad didžiausias galima projekto finansuojamoji dalis sudaro </w:t>
      </w:r>
      <w:r w:rsidRPr="006048F3">
        <w:rPr>
          <w:rFonts w:ascii="Times New Roman" w:hAnsi="Times New Roman"/>
          <w:b/>
        </w:rPr>
        <w:t>95 proc.</w:t>
      </w:r>
      <w:r>
        <w:rPr>
          <w:rFonts w:ascii="Times New Roman" w:hAnsi="Times New Roman"/>
        </w:rPr>
        <w:t xml:space="preserve">, nepriklausomai nuo to, kas vykdo </w:t>
      </w:r>
      <w:r w:rsidRPr="006048F3">
        <w:rPr>
          <w:rFonts w:ascii="Times New Roman" w:hAnsi="Times New Roman"/>
        </w:rPr>
        <w:t>PFSA 10.1 ir 10.2 punktuose įvardintas veiklas</w:t>
      </w:r>
      <w:r>
        <w:rPr>
          <w:rFonts w:ascii="Times New Roman" w:hAnsi="Times New Roman"/>
        </w:rPr>
        <w:t>.</w:t>
      </w:r>
    </w:p>
    <w:p w:rsidR="006048F3" w:rsidRDefault="009555A4" w:rsidP="009555A4">
      <w:pPr>
        <w:pStyle w:val="Sraopastraipa"/>
        <w:numPr>
          <w:ilvl w:val="0"/>
          <w:numId w:val="1"/>
        </w:numPr>
        <w:autoSpaceDE w:val="0"/>
        <w:autoSpaceDN w:val="0"/>
        <w:adjustRightInd w:val="0"/>
        <w:spacing w:after="0" w:line="240" w:lineRule="auto"/>
        <w:ind w:left="1134"/>
        <w:jc w:val="both"/>
        <w:rPr>
          <w:rFonts w:ascii="Times New Roman" w:hAnsi="Times New Roman"/>
        </w:rPr>
      </w:pPr>
      <w:r>
        <w:rPr>
          <w:rFonts w:ascii="Times New Roman" w:hAnsi="Times New Roman"/>
        </w:rPr>
        <w:t>PFSA 45 punkto lentelės</w:t>
      </w:r>
      <w:r w:rsidR="005748B2">
        <w:rPr>
          <w:rFonts w:ascii="Times New Roman" w:hAnsi="Times New Roman"/>
        </w:rPr>
        <w:t xml:space="preserve"> 5 eilutėje „Projekto vykdymas“</w:t>
      </w:r>
      <w:r>
        <w:rPr>
          <w:rFonts w:ascii="Times New Roman" w:hAnsi="Times New Roman"/>
        </w:rPr>
        <w:t xml:space="preserve"> įvardintos išlaidos yra dviprasmiškos, dėl išlaidų pavadinimų perkėlimo iš „</w:t>
      </w:r>
      <w:r w:rsidRPr="009555A4">
        <w:rPr>
          <w:rFonts w:ascii="Times New Roman" w:hAnsi="Times New Roman"/>
        </w:rPr>
        <w:t>Rekomendacij</w:t>
      </w:r>
      <w:r>
        <w:rPr>
          <w:rFonts w:ascii="Times New Roman" w:hAnsi="Times New Roman"/>
        </w:rPr>
        <w:t>ų</w:t>
      </w:r>
      <w:r w:rsidRPr="009555A4">
        <w:rPr>
          <w:rFonts w:ascii="Times New Roman" w:hAnsi="Times New Roman"/>
        </w:rPr>
        <w:t xml:space="preserve"> dėl projektų išlaidų atitikties Europos Sąjungos </w:t>
      </w:r>
      <w:r>
        <w:rPr>
          <w:rFonts w:ascii="Times New Roman" w:hAnsi="Times New Roman"/>
        </w:rPr>
        <w:t xml:space="preserve">struktūrinių fondų reikalavimams“, patvirtintų </w:t>
      </w:r>
      <w:r w:rsidRPr="009555A4">
        <w:rPr>
          <w:rFonts w:ascii="Times New Roman" w:hAnsi="Times New Roman"/>
        </w:rPr>
        <w:t>2014–2020 metų Europos Sąjungos fondų investicijų veiksmų programos valdymo komitetų 2014 m. liepos 4 d. protokolu Nr. 34</w:t>
      </w:r>
      <w:r w:rsidR="005748B2">
        <w:rPr>
          <w:rFonts w:ascii="Times New Roman" w:hAnsi="Times New Roman"/>
        </w:rPr>
        <w:t xml:space="preserve"> (pavyzdžiui, „Tarpt</w:t>
      </w:r>
      <w:r>
        <w:rPr>
          <w:rFonts w:ascii="Times New Roman" w:hAnsi="Times New Roman"/>
        </w:rPr>
        <w:t xml:space="preserve">autinis partneris“ įvardijimas išlaidose, kai PFSA nenumato tokio partnerio buvimo galimybės). </w:t>
      </w:r>
      <w:r w:rsidR="005748B2">
        <w:rPr>
          <w:rFonts w:ascii="Times New Roman" w:hAnsi="Times New Roman"/>
          <w:b/>
        </w:rPr>
        <w:t>Siūlome</w:t>
      </w:r>
      <w:r w:rsidRPr="00812CBB">
        <w:rPr>
          <w:rFonts w:ascii="Times New Roman" w:hAnsi="Times New Roman"/>
          <w:b/>
        </w:rPr>
        <w:t xml:space="preserve"> patiks</w:t>
      </w:r>
      <w:r w:rsidR="00E52366" w:rsidRPr="00812CBB">
        <w:rPr>
          <w:rFonts w:ascii="Times New Roman" w:hAnsi="Times New Roman"/>
          <w:b/>
        </w:rPr>
        <w:t>l</w:t>
      </w:r>
      <w:r w:rsidRPr="00812CBB">
        <w:rPr>
          <w:rFonts w:ascii="Times New Roman" w:hAnsi="Times New Roman"/>
          <w:b/>
        </w:rPr>
        <w:t>i</w:t>
      </w:r>
      <w:r w:rsidR="005748B2">
        <w:rPr>
          <w:rFonts w:ascii="Times New Roman" w:hAnsi="Times New Roman"/>
          <w:b/>
        </w:rPr>
        <w:t>n</w:t>
      </w:r>
      <w:r w:rsidRPr="00812CBB">
        <w:rPr>
          <w:rFonts w:ascii="Times New Roman" w:hAnsi="Times New Roman"/>
          <w:b/>
        </w:rPr>
        <w:t>ti</w:t>
      </w:r>
      <w:r>
        <w:rPr>
          <w:rFonts w:ascii="Times New Roman" w:hAnsi="Times New Roman"/>
        </w:rPr>
        <w:t xml:space="preserve"> </w:t>
      </w:r>
      <w:r w:rsidR="00E52366">
        <w:rPr>
          <w:rFonts w:ascii="Times New Roman" w:hAnsi="Times New Roman"/>
        </w:rPr>
        <w:t>PFSA 45 punkto lentelės 5 eilutėje įvardijamų tinkamų išlaidų pavadi</w:t>
      </w:r>
      <w:r w:rsidR="005748B2">
        <w:rPr>
          <w:rFonts w:ascii="Times New Roman" w:hAnsi="Times New Roman"/>
        </w:rPr>
        <w:t>n</w:t>
      </w:r>
      <w:r w:rsidR="00E52366">
        <w:rPr>
          <w:rFonts w:ascii="Times New Roman" w:hAnsi="Times New Roman"/>
        </w:rPr>
        <w:t>imus bei papildyti naujomis atsižvelgiant į šio PFSA spec</w:t>
      </w:r>
      <w:r w:rsidR="005748B2">
        <w:rPr>
          <w:rFonts w:ascii="Times New Roman" w:hAnsi="Times New Roman"/>
        </w:rPr>
        <w:t>i</w:t>
      </w:r>
      <w:r w:rsidR="00E52366">
        <w:rPr>
          <w:rFonts w:ascii="Times New Roman" w:hAnsi="Times New Roman"/>
        </w:rPr>
        <w:t>fiką</w:t>
      </w:r>
      <w:r w:rsidR="00E50F60">
        <w:rPr>
          <w:rFonts w:ascii="Times New Roman" w:hAnsi="Times New Roman"/>
        </w:rPr>
        <w:t xml:space="preserve">, </w:t>
      </w:r>
      <w:r w:rsidR="00E50F60" w:rsidRPr="00812CBB">
        <w:rPr>
          <w:rFonts w:ascii="Times New Roman" w:hAnsi="Times New Roman"/>
          <w:b/>
        </w:rPr>
        <w:t>išlaidas įvardijant taip</w:t>
      </w:r>
      <w:r w:rsidR="00E52366">
        <w:rPr>
          <w:rFonts w:ascii="Times New Roman" w:hAnsi="Times New Roman"/>
        </w:rPr>
        <w:t>:</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 xml:space="preserve"> projektą vykdančio personalo darbo užmokesčio ir atlygio projektą vykdantiems fiziniams asmenims pagal paslaugų (civilines), autorines ar kitas sutartis išlaidos; </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projektą vykdančio personalo komandiruočių, kelionių ar stažuočių išlaidos;</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 xml:space="preserve"> svečių iš užsienio, dalyvaujančių projekto veiklose, kelionių ir apgyvendinimo išlaidos;</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 xml:space="preserve">projekto veiklose dalyvaujančių asmenų komandiruočių, kelionių, dalyvavimo renginiuose ir pan. išlaidos; </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 xml:space="preserve"> galimybių studijos, tyrimų, studijų, metodikų rengimo, mokymų organizavimo ir vykdymo, leidybos ir panašios išlaidos, tačiau nedaugiau kaip 15 proc. visų projekto tinkamų išlaidų;</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projekto vykdytojui ar partneriui priklausančio ilgalaikio turto nusidėvėjimo (amortizacijos) sąnaudos (jei projekto vykdytojas ir (arba) partneris yra biudžetinė įstaiga, šios išlaidos galimos tik iš projekto vykdytojo ir (arba) partnerio nuosavo įnašo);</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projekto veikloms vykdyti (įskaitant veiklose dalyvaujančių asmenų apgyvendinimą) reikalingų transporto priemonių, patalpų eksploatavimo (komunalinių, ryšio paslaugų ir pan.) išlaidos;</w:t>
      </w:r>
    </w:p>
    <w:p w:rsidR="00E52366" w:rsidRPr="00E50F60" w:rsidRDefault="00E52366" w:rsidP="005748B2">
      <w:pPr>
        <w:pStyle w:val="Sraopastraipa"/>
        <w:numPr>
          <w:ilvl w:val="2"/>
          <w:numId w:val="10"/>
        </w:numPr>
        <w:autoSpaceDE w:val="0"/>
        <w:autoSpaceDN w:val="0"/>
        <w:adjustRightInd w:val="0"/>
        <w:spacing w:after="0" w:line="240" w:lineRule="auto"/>
        <w:ind w:left="2410" w:hanging="430"/>
        <w:rPr>
          <w:rFonts w:ascii="Times New Roman" w:hAnsi="Times New Roman"/>
          <w:i/>
        </w:rPr>
      </w:pPr>
      <w:r w:rsidRPr="00E50F60">
        <w:rPr>
          <w:rFonts w:ascii="Times New Roman" w:hAnsi="Times New Roman"/>
          <w:i/>
        </w:rPr>
        <w:t>kitos projekto veikloms įvykdyti būtinos išlaidos.</w:t>
      </w:r>
    </w:p>
    <w:p w:rsidR="006048F3" w:rsidRDefault="006048F3" w:rsidP="00D92D9E">
      <w:pPr>
        <w:autoSpaceDE w:val="0"/>
        <w:autoSpaceDN w:val="0"/>
        <w:adjustRightInd w:val="0"/>
        <w:spacing w:after="0" w:line="240" w:lineRule="auto"/>
        <w:ind w:left="1134"/>
        <w:jc w:val="both"/>
        <w:rPr>
          <w:rFonts w:ascii="Times New Roman" w:hAnsi="Times New Roman"/>
        </w:rPr>
      </w:pPr>
    </w:p>
    <w:p w:rsidR="00202320" w:rsidRPr="00066B8F" w:rsidRDefault="005B3B72" w:rsidP="005748B2">
      <w:pPr>
        <w:autoSpaceDE w:val="0"/>
        <w:autoSpaceDN w:val="0"/>
        <w:adjustRightInd w:val="0"/>
        <w:spacing w:after="0" w:line="240" w:lineRule="auto"/>
        <w:jc w:val="both"/>
        <w:rPr>
          <w:rFonts w:ascii="Times New Roman" w:hAnsi="Times New Roman" w:cs="Times New Roman"/>
          <w:iCs/>
        </w:rPr>
      </w:pPr>
      <w:r w:rsidRPr="00066B8F">
        <w:rPr>
          <w:rFonts w:ascii="Times New Roman" w:hAnsi="Times New Roman" w:cs="Times New Roman"/>
          <w:iCs/>
        </w:rPr>
        <w:t>Tikimės</w:t>
      </w:r>
      <w:r w:rsidR="00202320" w:rsidRPr="00066B8F">
        <w:rPr>
          <w:rFonts w:ascii="Times New Roman" w:hAnsi="Times New Roman" w:cs="Times New Roman"/>
          <w:iCs/>
        </w:rPr>
        <w:t>,</w:t>
      </w:r>
      <w:r w:rsidR="005748B2">
        <w:rPr>
          <w:rFonts w:ascii="Times New Roman" w:hAnsi="Times New Roman" w:cs="Times New Roman"/>
          <w:iCs/>
        </w:rPr>
        <w:t xml:space="preserve"> kad mūsų įvardinti komentarai, </w:t>
      </w:r>
      <w:r w:rsidR="00202320" w:rsidRPr="00066B8F">
        <w:rPr>
          <w:rFonts w:ascii="Times New Roman" w:hAnsi="Times New Roman" w:cs="Times New Roman"/>
          <w:iCs/>
        </w:rPr>
        <w:t xml:space="preserve">pastabos bei pasiūlymai prisidės prie </w:t>
      </w:r>
      <w:r w:rsidR="00E50F60" w:rsidRPr="00D60E5E">
        <w:rPr>
          <w:rFonts w:ascii="Times New Roman" w:hAnsi="Times New Roman" w:cs="Times New Roman"/>
          <w:color w:val="000000"/>
        </w:rPr>
        <w:t>priemonės „</w:t>
      </w:r>
      <w:proofErr w:type="spellStart"/>
      <w:r w:rsidR="00E50F60" w:rsidRPr="00D60E5E">
        <w:rPr>
          <w:rFonts w:ascii="Times New Roman" w:hAnsi="Times New Roman" w:cs="Times New Roman"/>
          <w:color w:val="000000"/>
        </w:rPr>
        <w:t>Inogeb</w:t>
      </w:r>
      <w:proofErr w:type="spellEnd"/>
      <w:r w:rsidR="00E50F60" w:rsidRPr="00D60E5E">
        <w:rPr>
          <w:rFonts w:ascii="Times New Roman" w:hAnsi="Times New Roman" w:cs="Times New Roman"/>
          <w:color w:val="000000"/>
        </w:rPr>
        <w:t xml:space="preserve"> LT“</w:t>
      </w:r>
      <w:r w:rsidR="00E50F60">
        <w:rPr>
          <w:rFonts w:ascii="Times New Roman" w:hAnsi="Times New Roman" w:cs="Times New Roman"/>
          <w:color w:val="000000"/>
        </w:rPr>
        <w:t xml:space="preserve"> efektyvumo</w:t>
      </w:r>
      <w:r w:rsidR="00D55A8C">
        <w:rPr>
          <w:rFonts w:ascii="Times New Roman" w:hAnsi="Times New Roman" w:cs="Times New Roman"/>
          <w:color w:val="000000"/>
        </w:rPr>
        <w:t xml:space="preserve"> didinimo</w:t>
      </w:r>
      <w:r w:rsidR="00E50F60">
        <w:rPr>
          <w:rFonts w:ascii="Times New Roman" w:hAnsi="Times New Roman" w:cs="Times New Roman"/>
          <w:color w:val="000000"/>
        </w:rPr>
        <w:t>.</w:t>
      </w:r>
    </w:p>
    <w:p w:rsidR="00202320" w:rsidRDefault="00202320" w:rsidP="00202320">
      <w:pPr>
        <w:autoSpaceDE w:val="0"/>
        <w:autoSpaceDN w:val="0"/>
        <w:adjustRightInd w:val="0"/>
        <w:spacing w:after="0" w:line="240" w:lineRule="auto"/>
        <w:ind w:firstLine="360"/>
        <w:jc w:val="both"/>
        <w:rPr>
          <w:rFonts w:ascii="Times New Roman" w:hAnsi="Times New Roman" w:cs="Times New Roman"/>
        </w:rPr>
      </w:pPr>
    </w:p>
    <w:sectPr w:rsidR="00202320" w:rsidSect="00E5574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D9" w:rsidRDefault="00414DD9" w:rsidP="00E52366">
      <w:pPr>
        <w:spacing w:after="0" w:line="240" w:lineRule="auto"/>
      </w:pPr>
      <w:r>
        <w:separator/>
      </w:r>
    </w:p>
  </w:endnote>
  <w:endnote w:type="continuationSeparator" w:id="0">
    <w:p w:rsidR="00414DD9" w:rsidRDefault="00414DD9" w:rsidP="00E52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D9" w:rsidRDefault="00414DD9" w:rsidP="00E52366">
      <w:pPr>
        <w:spacing w:after="0" w:line="240" w:lineRule="auto"/>
      </w:pPr>
      <w:r>
        <w:separator/>
      </w:r>
    </w:p>
  </w:footnote>
  <w:footnote w:type="continuationSeparator" w:id="0">
    <w:p w:rsidR="00414DD9" w:rsidRDefault="00414DD9" w:rsidP="00E52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77E"/>
    <w:multiLevelType w:val="hybridMultilevel"/>
    <w:tmpl w:val="F0DA8D14"/>
    <w:lvl w:ilvl="0" w:tplc="DB0E6BD8">
      <w:start w:val="1"/>
      <w:numFmt w:val="decimal"/>
      <w:lvlText w:val="%1."/>
      <w:lvlJc w:val="left"/>
      <w:pPr>
        <w:ind w:left="720" w:hanging="360"/>
      </w:pPr>
      <w:rPr>
        <w:rFonts w:asciiTheme="minorHAnsi" w:hAnsiTheme="minorHAnsi" w:cstheme="minorBidi" w:hint="default"/>
        <w:i w:val="0"/>
        <w:sz w:val="22"/>
      </w:rPr>
    </w:lvl>
    <w:lvl w:ilvl="1" w:tplc="04270019">
      <w:start w:val="1"/>
      <w:numFmt w:val="lowerLetter"/>
      <w:lvlText w:val="%2."/>
      <w:lvlJc w:val="left"/>
      <w:pPr>
        <w:ind w:left="1440" w:hanging="360"/>
      </w:pPr>
    </w:lvl>
    <w:lvl w:ilvl="2" w:tplc="DEE0CE9E">
      <w:start w:val="1"/>
      <w:numFmt w:val="lowerLetter"/>
      <w:lvlText w:val="%3)"/>
      <w:lvlJc w:val="left"/>
      <w:pPr>
        <w:ind w:left="2160" w:hanging="180"/>
      </w:pPr>
      <w:rPr>
        <w:rFonts w:ascii="Times New Roman" w:eastAsia="Calibri" w:hAnsi="Times New Roman" w:cs="Times New Roman"/>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051A14"/>
    <w:multiLevelType w:val="hybridMultilevel"/>
    <w:tmpl w:val="9C3E810A"/>
    <w:lvl w:ilvl="0" w:tplc="B27EFD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FA6476"/>
    <w:multiLevelType w:val="hybridMultilevel"/>
    <w:tmpl w:val="918AE78C"/>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3122245A"/>
    <w:multiLevelType w:val="hybridMultilevel"/>
    <w:tmpl w:val="72F811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1803A36"/>
    <w:multiLevelType w:val="hybridMultilevel"/>
    <w:tmpl w:val="F678F32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5255B2E"/>
    <w:multiLevelType w:val="hybridMultilevel"/>
    <w:tmpl w:val="A19446FA"/>
    <w:lvl w:ilvl="0" w:tplc="DB0E6BD8">
      <w:start w:val="1"/>
      <w:numFmt w:val="decimal"/>
      <w:lvlText w:val="%1."/>
      <w:lvlJc w:val="left"/>
      <w:pPr>
        <w:ind w:left="720" w:hanging="360"/>
      </w:pPr>
      <w:rPr>
        <w:rFonts w:asciiTheme="minorHAnsi" w:hAnsiTheme="minorHAnsi" w:cstheme="minorBidi" w:hint="default"/>
        <w:i w:val="0"/>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31800E5"/>
    <w:multiLevelType w:val="hybridMultilevel"/>
    <w:tmpl w:val="01B263EE"/>
    <w:lvl w:ilvl="0" w:tplc="DB0E6BD8">
      <w:start w:val="1"/>
      <w:numFmt w:val="decimal"/>
      <w:lvlText w:val="%1."/>
      <w:lvlJc w:val="left"/>
      <w:pPr>
        <w:ind w:left="720" w:hanging="360"/>
      </w:pPr>
      <w:rPr>
        <w:rFonts w:asciiTheme="minorHAnsi" w:hAnsiTheme="minorHAnsi" w:cstheme="minorBidi" w:hint="default"/>
        <w:i w:val="0"/>
        <w:sz w:val="22"/>
      </w:rPr>
    </w:lvl>
    <w:lvl w:ilvl="1" w:tplc="04270019">
      <w:start w:val="1"/>
      <w:numFmt w:val="lowerLetter"/>
      <w:lvlText w:val="%2."/>
      <w:lvlJc w:val="left"/>
      <w:pPr>
        <w:ind w:left="1440" w:hanging="360"/>
      </w:pPr>
    </w:lvl>
    <w:lvl w:ilvl="2" w:tplc="04270017">
      <w:start w:val="1"/>
      <w:numFmt w:val="lowerLetter"/>
      <w:lvlText w:val="%3)"/>
      <w:lvlJc w:val="lef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50B4D3A"/>
    <w:multiLevelType w:val="hybridMultilevel"/>
    <w:tmpl w:val="E7E28D70"/>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9152054"/>
    <w:multiLevelType w:val="hybridMultilevel"/>
    <w:tmpl w:val="BFAA8368"/>
    <w:lvl w:ilvl="0" w:tplc="ED6E5B16">
      <w:numFmt w:val="bullet"/>
      <w:lvlText w:val="-"/>
      <w:lvlJc w:val="left"/>
      <w:pPr>
        <w:ind w:left="1494" w:hanging="360"/>
      </w:pPr>
      <w:rPr>
        <w:rFonts w:ascii="Times New Roman" w:eastAsiaTheme="minorHAnsi"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9">
    <w:nsid w:val="7F413CC6"/>
    <w:multiLevelType w:val="hybridMultilevel"/>
    <w:tmpl w:val="FD4032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1"/>
  </w:num>
  <w:num w:numId="6">
    <w:abstractNumId w:val="7"/>
  </w:num>
  <w:num w:numId="7">
    <w:abstractNumId w:val="8"/>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footnotePr>
    <w:footnote w:id="-1"/>
    <w:footnote w:id="0"/>
  </w:footnotePr>
  <w:endnotePr>
    <w:endnote w:id="-1"/>
    <w:endnote w:id="0"/>
  </w:endnotePr>
  <w:compat/>
  <w:rsids>
    <w:rsidRoot w:val="00A46442"/>
    <w:rsid w:val="0003606A"/>
    <w:rsid w:val="00041D07"/>
    <w:rsid w:val="00066B8F"/>
    <w:rsid w:val="0009256E"/>
    <w:rsid w:val="000A42C9"/>
    <w:rsid w:val="000A65C3"/>
    <w:rsid w:val="000C0866"/>
    <w:rsid w:val="000E42EB"/>
    <w:rsid w:val="001321E6"/>
    <w:rsid w:val="001539F5"/>
    <w:rsid w:val="00202320"/>
    <w:rsid w:val="002179CE"/>
    <w:rsid w:val="00253252"/>
    <w:rsid w:val="002D3FA2"/>
    <w:rsid w:val="002F4657"/>
    <w:rsid w:val="00355030"/>
    <w:rsid w:val="003E234D"/>
    <w:rsid w:val="00414DD9"/>
    <w:rsid w:val="00485464"/>
    <w:rsid w:val="004E4870"/>
    <w:rsid w:val="005748B2"/>
    <w:rsid w:val="00594018"/>
    <w:rsid w:val="005B3B72"/>
    <w:rsid w:val="005D64F2"/>
    <w:rsid w:val="005E58A8"/>
    <w:rsid w:val="006048F3"/>
    <w:rsid w:val="00657947"/>
    <w:rsid w:val="00672CF2"/>
    <w:rsid w:val="00685B80"/>
    <w:rsid w:val="006D557C"/>
    <w:rsid w:val="006E0766"/>
    <w:rsid w:val="006E46DD"/>
    <w:rsid w:val="006E7BB4"/>
    <w:rsid w:val="007140C5"/>
    <w:rsid w:val="0072579B"/>
    <w:rsid w:val="007B0258"/>
    <w:rsid w:val="0080149B"/>
    <w:rsid w:val="00812CBB"/>
    <w:rsid w:val="00816CE4"/>
    <w:rsid w:val="008B175C"/>
    <w:rsid w:val="008C66AB"/>
    <w:rsid w:val="00936CC0"/>
    <w:rsid w:val="00943439"/>
    <w:rsid w:val="009555A4"/>
    <w:rsid w:val="009701BF"/>
    <w:rsid w:val="009B064C"/>
    <w:rsid w:val="009B559F"/>
    <w:rsid w:val="009E76EA"/>
    <w:rsid w:val="00A44B58"/>
    <w:rsid w:val="00A46442"/>
    <w:rsid w:val="00AD0EF6"/>
    <w:rsid w:val="00B44C28"/>
    <w:rsid w:val="00B509E4"/>
    <w:rsid w:val="00B80C11"/>
    <w:rsid w:val="00BB6F5B"/>
    <w:rsid w:val="00BF0A47"/>
    <w:rsid w:val="00C80E1E"/>
    <w:rsid w:val="00CB03DB"/>
    <w:rsid w:val="00CC1AA5"/>
    <w:rsid w:val="00D55A8C"/>
    <w:rsid w:val="00D60E5E"/>
    <w:rsid w:val="00D92D9E"/>
    <w:rsid w:val="00E1261C"/>
    <w:rsid w:val="00E1694A"/>
    <w:rsid w:val="00E50F60"/>
    <w:rsid w:val="00E52366"/>
    <w:rsid w:val="00E5574C"/>
    <w:rsid w:val="00E76C3B"/>
    <w:rsid w:val="00EC3008"/>
    <w:rsid w:val="00ED142B"/>
    <w:rsid w:val="00ED7DF0"/>
    <w:rsid w:val="00EE2AB9"/>
    <w:rsid w:val="00EF444B"/>
    <w:rsid w:val="00EF4554"/>
    <w:rsid w:val="00F01C89"/>
    <w:rsid w:val="00F27488"/>
    <w:rsid w:val="00F66121"/>
    <w:rsid w:val="00F749A7"/>
    <w:rsid w:val="00F83EEE"/>
    <w:rsid w:val="00F843DA"/>
    <w:rsid w:val="00FA50E2"/>
    <w:rsid w:val="00FB39CE"/>
    <w:rsid w:val="00FB4A60"/>
    <w:rsid w:val="00FD7AAD"/>
    <w:rsid w:val="00FF12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57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36CC0"/>
    <w:pPr>
      <w:ind w:left="720"/>
      <w:contextualSpacing/>
    </w:pPr>
  </w:style>
  <w:style w:type="paragraph" w:customStyle="1" w:styleId="Default">
    <w:name w:val="Default"/>
    <w:rsid w:val="0080149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41D07"/>
    <w:rPr>
      <w:color w:val="0000FF"/>
      <w:u w:val="single"/>
    </w:rPr>
  </w:style>
  <w:style w:type="character" w:customStyle="1" w:styleId="Datadiena">
    <w:name w:val="Data_diena"/>
    <w:basedOn w:val="Numatytasispastraiposriftas"/>
    <w:rsid w:val="00041D07"/>
  </w:style>
  <w:style w:type="character" w:customStyle="1" w:styleId="statymoNr">
    <w:name w:val="?statymo Nr."/>
    <w:rsid w:val="00041D07"/>
    <w:rPr>
      <w:rFonts w:ascii="HelveticaLT" w:hAnsi="HelveticaLT"/>
    </w:rPr>
  </w:style>
  <w:style w:type="character" w:customStyle="1" w:styleId="Datamnuo">
    <w:name w:val="Data_m?nuo"/>
    <w:rsid w:val="00041D07"/>
    <w:rPr>
      <w:rFonts w:ascii="HelveticaLT" w:hAnsi="HelveticaLT"/>
      <w:sz w:val="24"/>
    </w:rPr>
  </w:style>
  <w:style w:type="character" w:customStyle="1" w:styleId="Datametai">
    <w:name w:val="Data_metai"/>
    <w:basedOn w:val="Numatytasispastraiposriftas"/>
    <w:rsid w:val="00041D07"/>
  </w:style>
  <w:style w:type="character" w:styleId="Komentaronuoroda">
    <w:name w:val="annotation reference"/>
    <w:uiPriority w:val="99"/>
    <w:semiHidden/>
    <w:rsid w:val="006E46DD"/>
    <w:rPr>
      <w:rFonts w:cs="Times New Roman"/>
      <w:sz w:val="16"/>
    </w:rPr>
  </w:style>
  <w:style w:type="paragraph" w:styleId="Komentarotekstas">
    <w:name w:val="annotation text"/>
    <w:basedOn w:val="prastasis"/>
    <w:link w:val="KomentarotekstasDiagrama"/>
    <w:uiPriority w:val="99"/>
    <w:rsid w:val="006E46DD"/>
    <w:pPr>
      <w:spacing w:after="0" w:line="240" w:lineRule="auto"/>
      <w:ind w:firstLine="720"/>
      <w:jc w:val="both"/>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6E46DD"/>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6E46D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46DD"/>
    <w:rPr>
      <w:rFonts w:ascii="Tahoma" w:hAnsi="Tahoma" w:cs="Tahoma"/>
      <w:sz w:val="16"/>
      <w:szCs w:val="16"/>
    </w:rPr>
  </w:style>
  <w:style w:type="character" w:customStyle="1" w:styleId="datametai0">
    <w:name w:val="datametai"/>
    <w:basedOn w:val="Numatytasispastraiposriftas"/>
    <w:rsid w:val="002D3FA2"/>
  </w:style>
  <w:style w:type="character" w:customStyle="1" w:styleId="datamnuo0">
    <w:name w:val="datamnuo"/>
    <w:basedOn w:val="Numatytasispastraiposriftas"/>
    <w:rsid w:val="002D3FA2"/>
  </w:style>
  <w:style w:type="character" w:customStyle="1" w:styleId="datadiena0">
    <w:name w:val="datadiena"/>
    <w:basedOn w:val="Numatytasispastraiposriftas"/>
    <w:rsid w:val="002D3FA2"/>
  </w:style>
  <w:style w:type="character" w:customStyle="1" w:styleId="statymonr0">
    <w:name w:val="statymonr"/>
    <w:basedOn w:val="Numatytasispastraiposriftas"/>
    <w:rsid w:val="002D3FA2"/>
  </w:style>
  <w:style w:type="paragraph" w:styleId="Puslapioinaostekstas">
    <w:name w:val="footnote text"/>
    <w:basedOn w:val="prastasis"/>
    <w:link w:val="PuslapioinaostekstasDiagrama"/>
    <w:uiPriority w:val="99"/>
    <w:semiHidden/>
    <w:rsid w:val="00E52366"/>
    <w:pPr>
      <w:spacing w:after="0" w:line="240" w:lineRule="auto"/>
      <w:ind w:firstLine="851"/>
      <w:jc w:val="both"/>
    </w:pPr>
    <w:rPr>
      <w:rFonts w:ascii="Calibri" w:eastAsia="Calibri" w:hAnsi="Calibri" w:cs="Calibri"/>
      <w:sz w:val="20"/>
      <w:szCs w:val="20"/>
    </w:rPr>
  </w:style>
  <w:style w:type="character" w:customStyle="1" w:styleId="PuslapioinaostekstasDiagrama">
    <w:name w:val="Puslapio išnašos tekstas Diagrama"/>
    <w:basedOn w:val="Numatytasispastraiposriftas"/>
    <w:link w:val="Puslapioinaostekstas"/>
    <w:uiPriority w:val="99"/>
    <w:semiHidden/>
    <w:rsid w:val="00E52366"/>
    <w:rPr>
      <w:rFonts w:ascii="Calibri" w:eastAsia="Calibri" w:hAnsi="Calibri" w:cs="Calibri"/>
      <w:sz w:val="20"/>
      <w:szCs w:val="20"/>
    </w:rPr>
  </w:style>
  <w:style w:type="character" w:styleId="Puslapioinaosnuoroda">
    <w:name w:val="footnote reference"/>
    <w:uiPriority w:val="99"/>
    <w:semiHidden/>
    <w:rsid w:val="00E5236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421104&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7412</Words>
  <Characters>4226</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jakubavicius</dc:creator>
  <cp:lastModifiedBy>ZEF</cp:lastModifiedBy>
  <cp:revision>3</cp:revision>
  <cp:lastPrinted>2015-08-11T08:50:00Z</cp:lastPrinted>
  <dcterms:created xsi:type="dcterms:W3CDTF">2015-12-01T08:07:00Z</dcterms:created>
  <dcterms:modified xsi:type="dcterms:W3CDTF">2015-12-02T11:13:00Z</dcterms:modified>
</cp:coreProperties>
</file>