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EE" w:rsidRPr="00404E25" w:rsidRDefault="003A7DC4" w:rsidP="00404E25">
      <w:pPr>
        <w:jc w:val="both"/>
        <w:rPr>
          <w:color w:val="000000" w:themeColor="text1"/>
          <w:sz w:val="24"/>
          <w:szCs w:val="24"/>
        </w:rPr>
      </w:pPr>
      <w:r w:rsidRPr="00404E25">
        <w:rPr>
          <w:color w:val="000000" w:themeColor="text1"/>
          <w:sz w:val="24"/>
          <w:szCs w:val="24"/>
        </w:rPr>
        <w:t>Pateikiame</w:t>
      </w:r>
      <w:r w:rsidR="00940AEE" w:rsidRPr="00404E25">
        <w:rPr>
          <w:color w:val="000000" w:themeColor="text1"/>
          <w:sz w:val="24"/>
          <w:szCs w:val="24"/>
        </w:rPr>
        <w:t xml:space="preserve"> Jums asociacijos "Žinių ekonomikos forumas", </w:t>
      </w:r>
      <w:r w:rsidR="00421E7D" w:rsidRPr="00404E25">
        <w:rPr>
          <w:color w:val="000000" w:themeColor="text1"/>
          <w:sz w:val="24"/>
          <w:szCs w:val="24"/>
        </w:rPr>
        <w:t xml:space="preserve">Lietuvos pramonininkų konfederacijos, Lietuvos inovacijų centro, </w:t>
      </w:r>
      <w:r w:rsidR="00940AEE" w:rsidRPr="00404E25">
        <w:rPr>
          <w:color w:val="000000" w:themeColor="text1"/>
          <w:sz w:val="24"/>
          <w:szCs w:val="24"/>
        </w:rPr>
        <w:t>Lietuvos lazerių asociacijos, Lietuvos inžinerinės pramonės asociacijos</w:t>
      </w:r>
      <w:r w:rsidR="00995F39">
        <w:rPr>
          <w:color w:val="000000" w:themeColor="text1"/>
          <w:sz w:val="24"/>
          <w:szCs w:val="24"/>
        </w:rPr>
        <w:t xml:space="preserve"> "Linpra", T</w:t>
      </w:r>
      <w:r w:rsidRPr="00404E25">
        <w:rPr>
          <w:color w:val="000000" w:themeColor="text1"/>
          <w:sz w:val="24"/>
          <w:szCs w:val="24"/>
        </w:rPr>
        <w:t xml:space="preserve">echnologijų ir inovacijų paramos </w:t>
      </w:r>
      <w:r w:rsidR="00864B08">
        <w:rPr>
          <w:color w:val="000000" w:themeColor="text1"/>
          <w:sz w:val="24"/>
          <w:szCs w:val="24"/>
        </w:rPr>
        <w:t xml:space="preserve">verslui </w:t>
      </w:r>
      <w:r w:rsidRPr="00404E25">
        <w:rPr>
          <w:color w:val="000000" w:themeColor="text1"/>
          <w:sz w:val="24"/>
          <w:szCs w:val="24"/>
        </w:rPr>
        <w:t xml:space="preserve">asociacijos </w:t>
      </w:r>
      <w:r w:rsidR="00940AEE" w:rsidRPr="00404E25">
        <w:rPr>
          <w:color w:val="000000" w:themeColor="text1"/>
          <w:sz w:val="24"/>
          <w:szCs w:val="24"/>
        </w:rPr>
        <w:t>bendrus jungtinius pasiūlymus</w:t>
      </w:r>
      <w:r w:rsidRPr="00404E25">
        <w:rPr>
          <w:color w:val="000000" w:themeColor="text1"/>
          <w:sz w:val="24"/>
          <w:szCs w:val="24"/>
        </w:rPr>
        <w:t xml:space="preserve"> ir pastabas</w:t>
      </w:r>
      <w:r w:rsidR="00940AEE" w:rsidRPr="00404E25">
        <w:rPr>
          <w:color w:val="000000" w:themeColor="text1"/>
          <w:sz w:val="24"/>
          <w:szCs w:val="24"/>
        </w:rPr>
        <w:t xml:space="preserve"> dėl LR Ūkio ministerijos priemonių:</w:t>
      </w:r>
    </w:p>
    <w:p w:rsidR="00585E79" w:rsidRPr="00404E25" w:rsidRDefault="00585E79" w:rsidP="00404E25">
      <w:pPr>
        <w:pStyle w:val="ListParagraph"/>
        <w:numPr>
          <w:ilvl w:val="0"/>
          <w:numId w:val="4"/>
        </w:numPr>
        <w:jc w:val="both"/>
        <w:rPr>
          <w:b/>
          <w:color w:val="000000" w:themeColor="text1"/>
          <w:sz w:val="24"/>
          <w:szCs w:val="24"/>
        </w:rPr>
      </w:pPr>
      <w:r w:rsidRPr="00404E25">
        <w:rPr>
          <w:b/>
          <w:color w:val="000000" w:themeColor="text1"/>
          <w:sz w:val="24"/>
          <w:szCs w:val="24"/>
        </w:rPr>
        <w:t>Nr. 09.4.3-ESFA-K-840 „Inomokymai“</w:t>
      </w:r>
    </w:p>
    <w:p w:rsidR="00EB2980" w:rsidRPr="00404E25" w:rsidRDefault="00940AEE" w:rsidP="00404E25">
      <w:pPr>
        <w:jc w:val="both"/>
        <w:rPr>
          <w:color w:val="000000" w:themeColor="text1"/>
          <w:sz w:val="24"/>
          <w:szCs w:val="24"/>
        </w:rPr>
      </w:pPr>
      <w:r w:rsidRPr="00404E25">
        <w:rPr>
          <w:color w:val="000000" w:themeColor="text1"/>
          <w:sz w:val="24"/>
          <w:szCs w:val="24"/>
        </w:rPr>
        <w:t xml:space="preserve">Prašome </w:t>
      </w:r>
      <w:r w:rsidR="008D6B4F">
        <w:rPr>
          <w:color w:val="000000" w:themeColor="text1"/>
          <w:sz w:val="24"/>
          <w:szCs w:val="24"/>
        </w:rPr>
        <w:t>paaiškinti</w:t>
      </w:r>
      <w:r w:rsidRPr="00404E25">
        <w:rPr>
          <w:color w:val="000000" w:themeColor="text1"/>
          <w:sz w:val="24"/>
          <w:szCs w:val="24"/>
        </w:rPr>
        <w:t>, kodėl priemonės „Inomokymai“ projektų atrankos procedūra buvo pakei</w:t>
      </w:r>
      <w:r w:rsidR="0021036E" w:rsidRPr="00404E25">
        <w:rPr>
          <w:color w:val="000000" w:themeColor="text1"/>
          <w:sz w:val="24"/>
          <w:szCs w:val="24"/>
        </w:rPr>
        <w:t>s</w:t>
      </w:r>
      <w:r w:rsidRPr="00404E25">
        <w:rPr>
          <w:color w:val="000000" w:themeColor="text1"/>
          <w:sz w:val="24"/>
          <w:szCs w:val="24"/>
        </w:rPr>
        <w:t>ta iš „tęstinės“ į „konkursą“ (tęstinė procedūra buvo numatyta projektuojant priemonę, apie tai yra pateikta informacija ŪM internetiniame puslapyje).</w:t>
      </w:r>
      <w:r w:rsidR="008D6B4F">
        <w:rPr>
          <w:color w:val="000000" w:themeColor="text1"/>
          <w:sz w:val="24"/>
          <w:szCs w:val="24"/>
        </w:rPr>
        <w:t xml:space="preserve"> Mūsų manymu toks keitimas atliktas nepagrįstai</w:t>
      </w:r>
      <w:r w:rsidR="00FE12B6">
        <w:rPr>
          <w:color w:val="000000" w:themeColor="text1"/>
          <w:sz w:val="24"/>
          <w:szCs w:val="24"/>
        </w:rPr>
        <w:t xml:space="preserve">. Konkursines priemones lengviau administruoti, tačiau tęstinės priemonės geriau atspindi verslo poreikius. </w:t>
      </w:r>
      <w:r w:rsidRPr="00404E25">
        <w:rPr>
          <w:color w:val="000000" w:themeColor="text1"/>
          <w:sz w:val="24"/>
          <w:szCs w:val="24"/>
        </w:rPr>
        <w:t xml:space="preserve"> </w:t>
      </w:r>
    </w:p>
    <w:p w:rsidR="00EB2980" w:rsidRPr="00404E25" w:rsidRDefault="00EB2980" w:rsidP="00404E25">
      <w:pPr>
        <w:jc w:val="both"/>
        <w:rPr>
          <w:color w:val="000000" w:themeColor="text1"/>
          <w:sz w:val="24"/>
          <w:szCs w:val="24"/>
        </w:rPr>
      </w:pPr>
      <w:r w:rsidRPr="00404E25">
        <w:rPr>
          <w:color w:val="000000" w:themeColor="text1"/>
          <w:sz w:val="24"/>
          <w:szCs w:val="24"/>
        </w:rPr>
        <w:t>Pažymime, kad p</w:t>
      </w:r>
      <w:r w:rsidR="00940AEE" w:rsidRPr="00404E25">
        <w:rPr>
          <w:color w:val="000000" w:themeColor="text1"/>
          <w:sz w:val="24"/>
          <w:szCs w:val="24"/>
        </w:rPr>
        <w:t xml:space="preserve">agal priemonę </w:t>
      </w:r>
      <w:r w:rsidRPr="00404E25">
        <w:rPr>
          <w:color w:val="000000" w:themeColor="text1"/>
          <w:sz w:val="24"/>
          <w:szCs w:val="24"/>
        </w:rPr>
        <w:t xml:space="preserve">„Inomokymai“ </w:t>
      </w:r>
      <w:r w:rsidR="00940AEE" w:rsidRPr="00404E25">
        <w:rPr>
          <w:color w:val="000000" w:themeColor="text1"/>
          <w:sz w:val="24"/>
          <w:szCs w:val="24"/>
        </w:rPr>
        <w:t>planuojama investuoti į įmonių, vykdančių mokslinių tyrimų, eksperimentinės plėtros ir inovacijų (toliau – MTEPI) veiklas, darbuotojų mokymą ir technologinių įgūdžių tobulinimą užsienio MTEPI centruose ir (arba) užsienio įmonėse, vykdančiose MTEPI veiklas</w:t>
      </w:r>
      <w:r w:rsidRPr="00404E25">
        <w:rPr>
          <w:color w:val="000000" w:themeColor="text1"/>
          <w:sz w:val="24"/>
          <w:szCs w:val="24"/>
        </w:rPr>
        <w:t>.   Manome, kad projektų atrankos procedūros pakeit</w:t>
      </w:r>
      <w:r w:rsidR="0021036E" w:rsidRPr="00404E25">
        <w:rPr>
          <w:color w:val="000000" w:themeColor="text1"/>
          <w:sz w:val="24"/>
          <w:szCs w:val="24"/>
        </w:rPr>
        <w:t>imas</w:t>
      </w:r>
      <w:r w:rsidRPr="00404E25">
        <w:rPr>
          <w:color w:val="000000" w:themeColor="text1"/>
          <w:sz w:val="24"/>
          <w:szCs w:val="24"/>
        </w:rPr>
        <w:t xml:space="preserve"> iš „tęstinės“ į „konkursą“</w:t>
      </w:r>
      <w:r w:rsidR="0021036E" w:rsidRPr="00404E25">
        <w:rPr>
          <w:color w:val="000000" w:themeColor="text1"/>
          <w:sz w:val="24"/>
          <w:szCs w:val="24"/>
        </w:rPr>
        <w:t xml:space="preserve"> turės neigiamos įtakos MTEPI </w:t>
      </w:r>
      <w:r w:rsidR="00FE12B6">
        <w:rPr>
          <w:color w:val="000000" w:themeColor="text1"/>
          <w:sz w:val="24"/>
          <w:szCs w:val="24"/>
        </w:rPr>
        <w:t>veiklos skatinimui verslo įmonėse</w:t>
      </w:r>
      <w:r w:rsidR="0021036E" w:rsidRPr="00404E25">
        <w:rPr>
          <w:color w:val="000000" w:themeColor="text1"/>
          <w:sz w:val="24"/>
          <w:szCs w:val="24"/>
        </w:rPr>
        <w:t>,</w:t>
      </w:r>
      <w:r w:rsidR="00FE12B6">
        <w:rPr>
          <w:color w:val="000000" w:themeColor="text1"/>
          <w:sz w:val="24"/>
          <w:szCs w:val="24"/>
        </w:rPr>
        <w:t xml:space="preserve"> nes</w:t>
      </w:r>
      <w:r w:rsidR="0021036E" w:rsidRPr="00404E25">
        <w:rPr>
          <w:color w:val="000000" w:themeColor="text1"/>
          <w:sz w:val="24"/>
          <w:szCs w:val="24"/>
        </w:rPr>
        <w:t>:</w:t>
      </w:r>
    </w:p>
    <w:p w:rsidR="0021036E" w:rsidRPr="00404E25" w:rsidRDefault="0021036E" w:rsidP="00404E25">
      <w:pPr>
        <w:pStyle w:val="ListParagraph"/>
        <w:numPr>
          <w:ilvl w:val="0"/>
          <w:numId w:val="6"/>
        </w:numPr>
        <w:jc w:val="both"/>
        <w:rPr>
          <w:color w:val="000000" w:themeColor="text1"/>
          <w:sz w:val="24"/>
          <w:szCs w:val="24"/>
        </w:rPr>
      </w:pPr>
      <w:r w:rsidRPr="00404E25">
        <w:rPr>
          <w:color w:val="000000" w:themeColor="text1"/>
          <w:sz w:val="24"/>
          <w:szCs w:val="24"/>
        </w:rPr>
        <w:t>Efektyviam MTEPI plėtojimui yra labai svarbus laiko veiksnys, kai sparčiai kintant situacijai MTEP</w:t>
      </w:r>
      <w:r w:rsidR="00995F39">
        <w:rPr>
          <w:color w:val="000000" w:themeColor="text1"/>
          <w:sz w:val="24"/>
          <w:szCs w:val="24"/>
        </w:rPr>
        <w:t>I</w:t>
      </w:r>
      <w:r w:rsidRPr="00404E25">
        <w:rPr>
          <w:color w:val="000000" w:themeColor="text1"/>
          <w:sz w:val="24"/>
          <w:szCs w:val="24"/>
        </w:rPr>
        <w:t xml:space="preserve"> srityje, atsirandant naujoms žinioms, naujoms technologijoms ir pan., yra būtina savalaikiai re</w:t>
      </w:r>
      <w:r w:rsidR="00FE12B6">
        <w:rPr>
          <w:color w:val="000000" w:themeColor="text1"/>
          <w:sz w:val="24"/>
          <w:szCs w:val="24"/>
        </w:rPr>
        <w:t>a</w:t>
      </w:r>
      <w:r w:rsidRPr="00404E25">
        <w:rPr>
          <w:color w:val="000000" w:themeColor="text1"/>
          <w:sz w:val="24"/>
          <w:szCs w:val="24"/>
        </w:rPr>
        <w:t xml:space="preserve">guoti ir į darbuotojų kompetencijos kėlimą. </w:t>
      </w:r>
      <w:r w:rsidR="00FE12B6">
        <w:rPr>
          <w:color w:val="000000" w:themeColor="text1"/>
          <w:sz w:val="24"/>
          <w:szCs w:val="24"/>
        </w:rPr>
        <w:t>K</w:t>
      </w:r>
      <w:r w:rsidRPr="00404E25">
        <w:rPr>
          <w:color w:val="000000" w:themeColor="text1"/>
          <w:sz w:val="24"/>
          <w:szCs w:val="24"/>
        </w:rPr>
        <w:t xml:space="preserve">elti kvalifikaciją reikia tada, kada </w:t>
      </w:r>
      <w:r w:rsidR="00FE12B6">
        <w:rPr>
          <w:color w:val="000000" w:themeColor="text1"/>
          <w:sz w:val="24"/>
          <w:szCs w:val="24"/>
        </w:rPr>
        <w:t xml:space="preserve">yra poreikis, o </w:t>
      </w:r>
      <w:r w:rsidRPr="00404E25">
        <w:rPr>
          <w:color w:val="000000" w:themeColor="text1"/>
          <w:sz w:val="24"/>
          <w:szCs w:val="24"/>
        </w:rPr>
        <w:t xml:space="preserve"> prognozuoti kokių kompetencijų reikės konkretiems darbuotojams po 1 ar 2 metų</w:t>
      </w:r>
      <w:r w:rsidR="00FE12B6">
        <w:rPr>
          <w:color w:val="000000" w:themeColor="text1"/>
          <w:sz w:val="24"/>
          <w:szCs w:val="24"/>
        </w:rPr>
        <w:t xml:space="preserve"> esant nuolatos besikeičiančioms verslo sąlygoms ir rinkų tendencijoms</w:t>
      </w:r>
      <w:r w:rsidRPr="00404E25">
        <w:rPr>
          <w:color w:val="000000" w:themeColor="text1"/>
          <w:sz w:val="24"/>
          <w:szCs w:val="24"/>
        </w:rPr>
        <w:t xml:space="preserve">, </w:t>
      </w:r>
      <w:r w:rsidR="00FE12B6">
        <w:rPr>
          <w:color w:val="000000" w:themeColor="text1"/>
          <w:sz w:val="24"/>
          <w:szCs w:val="24"/>
        </w:rPr>
        <w:t>yra labai sunku (</w:t>
      </w:r>
      <w:r w:rsidRPr="00404E25">
        <w:rPr>
          <w:color w:val="000000" w:themeColor="text1"/>
          <w:sz w:val="24"/>
          <w:szCs w:val="24"/>
        </w:rPr>
        <w:t>jau nekalbant apie darbuotojų migraciją</w:t>
      </w:r>
      <w:r w:rsidR="00FE12B6">
        <w:rPr>
          <w:color w:val="000000" w:themeColor="text1"/>
          <w:sz w:val="24"/>
          <w:szCs w:val="24"/>
        </w:rPr>
        <w:t>)</w:t>
      </w:r>
      <w:r w:rsidRPr="00404E25">
        <w:rPr>
          <w:color w:val="000000" w:themeColor="text1"/>
          <w:sz w:val="24"/>
          <w:szCs w:val="24"/>
        </w:rPr>
        <w:t>. Tęstinė procedūra įgalima pateikti paraiškas ir gauti investicijas tada</w:t>
      </w:r>
      <w:r w:rsidR="00FE12B6">
        <w:rPr>
          <w:color w:val="000000" w:themeColor="text1"/>
          <w:sz w:val="24"/>
          <w:szCs w:val="24"/>
        </w:rPr>
        <w:t>,</w:t>
      </w:r>
      <w:r w:rsidRPr="00404E25">
        <w:rPr>
          <w:color w:val="000000" w:themeColor="text1"/>
          <w:sz w:val="24"/>
          <w:szCs w:val="24"/>
        </w:rPr>
        <w:t xml:space="preserve"> kada </w:t>
      </w:r>
      <w:r w:rsidR="00FE12B6">
        <w:rPr>
          <w:color w:val="000000" w:themeColor="text1"/>
          <w:sz w:val="24"/>
          <w:szCs w:val="24"/>
        </w:rPr>
        <w:t xml:space="preserve">jų labiausiai </w:t>
      </w:r>
      <w:r w:rsidRPr="00404E25">
        <w:rPr>
          <w:color w:val="000000" w:themeColor="text1"/>
          <w:sz w:val="24"/>
          <w:szCs w:val="24"/>
        </w:rPr>
        <w:t>reikia (apie 1 mėn. delsimas), konkurso atveju procedūros užsitęs kelis kartus ilgiau.</w:t>
      </w:r>
    </w:p>
    <w:p w:rsidR="0021036E" w:rsidRPr="00404E25" w:rsidRDefault="0021036E" w:rsidP="00404E25">
      <w:pPr>
        <w:pStyle w:val="ListParagraph"/>
        <w:numPr>
          <w:ilvl w:val="0"/>
          <w:numId w:val="6"/>
        </w:numPr>
        <w:jc w:val="both"/>
        <w:rPr>
          <w:color w:val="000000" w:themeColor="text1"/>
          <w:sz w:val="24"/>
          <w:szCs w:val="24"/>
        </w:rPr>
      </w:pPr>
      <w:r w:rsidRPr="00404E25">
        <w:rPr>
          <w:color w:val="000000" w:themeColor="text1"/>
          <w:sz w:val="24"/>
          <w:szCs w:val="24"/>
        </w:rPr>
        <w:t>Dažnoje Lietuvoje veikiančioje įmonėje MTEPI darbuotojų skaičius nėra didelis, šie darbuotojai yra labai svarbūs organizacijos veikloje, todėl ilgalaikis jų atiraukimas nuo darbo proceso yra dažn</w:t>
      </w:r>
      <w:r w:rsidR="00FE12B6">
        <w:rPr>
          <w:color w:val="000000" w:themeColor="text1"/>
          <w:sz w:val="24"/>
          <w:szCs w:val="24"/>
        </w:rPr>
        <w:t>ai</w:t>
      </w:r>
      <w:r w:rsidRPr="00404E25">
        <w:rPr>
          <w:color w:val="000000" w:themeColor="text1"/>
          <w:sz w:val="24"/>
          <w:szCs w:val="24"/>
        </w:rPr>
        <w:t xml:space="preserve">  ekonomiškai ir technologiškai neįmanomas. Įmonėse bus vienetai darbuotojų</w:t>
      </w:r>
      <w:r w:rsidR="00421E7D" w:rsidRPr="00404E25">
        <w:rPr>
          <w:color w:val="000000" w:themeColor="text1"/>
          <w:sz w:val="24"/>
          <w:szCs w:val="24"/>
        </w:rPr>
        <w:t xml:space="preserve"> (pvz.,</w:t>
      </w:r>
      <w:r w:rsidR="00FE12B6">
        <w:rPr>
          <w:color w:val="000000" w:themeColor="text1"/>
          <w:sz w:val="24"/>
          <w:szCs w:val="24"/>
        </w:rPr>
        <w:t xml:space="preserve"> </w:t>
      </w:r>
      <w:r w:rsidR="00421E7D" w:rsidRPr="00404E25">
        <w:rPr>
          <w:color w:val="000000" w:themeColor="text1"/>
          <w:sz w:val="24"/>
          <w:szCs w:val="24"/>
        </w:rPr>
        <w:t>1-5 vnt.)</w:t>
      </w:r>
      <w:r w:rsidRPr="00404E25">
        <w:rPr>
          <w:color w:val="000000" w:themeColor="text1"/>
          <w:sz w:val="24"/>
          <w:szCs w:val="24"/>
        </w:rPr>
        <w:t>, kurie bus siunčiami mokytis trumpą laikotarpį (</w:t>
      </w:r>
      <w:r w:rsidR="00421E7D" w:rsidRPr="00404E25">
        <w:rPr>
          <w:color w:val="000000" w:themeColor="text1"/>
          <w:sz w:val="24"/>
          <w:szCs w:val="24"/>
        </w:rPr>
        <w:t xml:space="preserve">pvz., </w:t>
      </w:r>
      <w:r w:rsidRPr="00404E25">
        <w:rPr>
          <w:color w:val="000000" w:themeColor="text1"/>
          <w:sz w:val="24"/>
          <w:szCs w:val="24"/>
        </w:rPr>
        <w:t xml:space="preserve">1-4 sav.). Projektų atrankos priocedūra dėl papildomų administracinių kaštų ekonomiškai pasiteisina, kai projektai yra didesnio masto ir kai jų įgyvendinimas trunka </w:t>
      </w:r>
      <w:r w:rsidR="00421E7D" w:rsidRPr="00404E25">
        <w:rPr>
          <w:color w:val="000000" w:themeColor="text1"/>
          <w:sz w:val="24"/>
          <w:szCs w:val="24"/>
        </w:rPr>
        <w:t>ilgai (pvz. 1 metus ir ilgiau). Tęstinė procedūra su minimaliais administraciniais kaštais leidžia įgyventi mažos apimties projektus.</w:t>
      </w:r>
    </w:p>
    <w:p w:rsidR="00421E7D" w:rsidRDefault="00421E7D" w:rsidP="00404E25">
      <w:pPr>
        <w:pStyle w:val="ListParagraph"/>
        <w:numPr>
          <w:ilvl w:val="0"/>
          <w:numId w:val="6"/>
        </w:numPr>
        <w:jc w:val="both"/>
        <w:rPr>
          <w:color w:val="000000" w:themeColor="text1"/>
          <w:sz w:val="24"/>
          <w:szCs w:val="24"/>
        </w:rPr>
      </w:pPr>
      <w:r w:rsidRPr="00404E25">
        <w:rPr>
          <w:color w:val="000000" w:themeColor="text1"/>
          <w:sz w:val="24"/>
          <w:szCs w:val="24"/>
        </w:rPr>
        <w:t>Projekto konkurso metu skririant  prioritetą (t.y.suteikiant daugiau balų) projektams pareiškėjų, kurių   „deklaruotų trejų finansinių metų iki paraiškos pateikimo arba per laiką nuo įmonės įregistravimo (jeigu įmonė vykdo veiklą mažiau negu trejus metus) vidutinių metinių MTEP išlaidų dydis  (Eur)“ bus didesnis, konkurencinį pranašumą turės subjektai, kurie daug (matuojant Eurais) per 3 metus investavo į MTEP.</w:t>
      </w:r>
      <w:r w:rsidR="0023436D" w:rsidRPr="00404E25">
        <w:rPr>
          <w:color w:val="000000" w:themeColor="text1"/>
          <w:sz w:val="24"/>
          <w:szCs w:val="24"/>
        </w:rPr>
        <w:t xml:space="preserve">  Įvertinus tai, kad pagal priemonę planuojama investuoti  tik 1,45 mln. Eur pagrįstai galima manyti, kad bus galimai sudaromos nelygios konkurencinės salygos  pareiškėjams.</w:t>
      </w:r>
    </w:p>
    <w:p w:rsidR="00000000" w:rsidRDefault="00943204">
      <w:pPr>
        <w:pStyle w:val="ListParagraph"/>
        <w:jc w:val="both"/>
        <w:rPr>
          <w:color w:val="000000" w:themeColor="text1"/>
          <w:sz w:val="24"/>
          <w:szCs w:val="24"/>
        </w:rPr>
      </w:pPr>
    </w:p>
    <w:p w:rsidR="00ED3BF9" w:rsidRPr="00FE12B6" w:rsidRDefault="00ED3BF9" w:rsidP="00FE12B6">
      <w:pPr>
        <w:pStyle w:val="ListParagraph"/>
        <w:numPr>
          <w:ilvl w:val="0"/>
          <w:numId w:val="4"/>
        </w:numPr>
        <w:rPr>
          <w:b/>
          <w:color w:val="000000" w:themeColor="text1"/>
          <w:sz w:val="24"/>
          <w:szCs w:val="24"/>
        </w:rPr>
      </w:pPr>
      <w:r w:rsidRPr="00404E25">
        <w:rPr>
          <w:b/>
          <w:color w:val="000000" w:themeColor="text1"/>
          <w:sz w:val="24"/>
          <w:szCs w:val="24"/>
        </w:rPr>
        <w:t>Priemonė Nr. 01.2.1-M</w:t>
      </w:r>
      <w:r w:rsidR="000B1285" w:rsidRPr="000B1285">
        <w:rPr>
          <w:b/>
          <w:color w:val="000000" w:themeColor="text1"/>
          <w:sz w:val="24"/>
          <w:szCs w:val="24"/>
        </w:rPr>
        <w:t>ITA-T-845 „Inopatentas“</w:t>
      </w:r>
    </w:p>
    <w:tbl>
      <w:tblPr>
        <w:tblStyle w:val="TableGrid"/>
        <w:tblW w:w="10064" w:type="dxa"/>
        <w:tblInd w:w="250" w:type="dxa"/>
        <w:tblLook w:val="04A0"/>
      </w:tblPr>
      <w:tblGrid>
        <w:gridCol w:w="2126"/>
        <w:gridCol w:w="7938"/>
      </w:tblGrid>
      <w:tr w:rsidR="00ED3BF9" w:rsidRPr="00404E25" w:rsidTr="001E0EF3">
        <w:tc>
          <w:tcPr>
            <w:tcW w:w="2126" w:type="dxa"/>
          </w:tcPr>
          <w:p w:rsidR="00ED3BF9" w:rsidRPr="00404E25" w:rsidRDefault="00ED3BF9" w:rsidP="00343081">
            <w:pPr>
              <w:rPr>
                <w:rFonts w:cs="Arial"/>
                <w:b/>
                <w:color w:val="000000" w:themeColor="text1"/>
                <w:sz w:val="24"/>
                <w:szCs w:val="24"/>
              </w:rPr>
            </w:pPr>
            <w:r w:rsidRPr="00404E25">
              <w:rPr>
                <w:rFonts w:cs="Arial"/>
                <w:b/>
                <w:color w:val="000000" w:themeColor="text1"/>
                <w:sz w:val="24"/>
                <w:szCs w:val="24"/>
              </w:rPr>
              <w:t>Kriterijus</w:t>
            </w:r>
          </w:p>
        </w:tc>
        <w:tc>
          <w:tcPr>
            <w:tcW w:w="7938" w:type="dxa"/>
          </w:tcPr>
          <w:p w:rsidR="00ED3BF9" w:rsidRPr="00404E25" w:rsidRDefault="00ED3BF9" w:rsidP="00343081">
            <w:pPr>
              <w:rPr>
                <w:rFonts w:cs="Arial"/>
                <w:b/>
                <w:color w:val="000000" w:themeColor="text1"/>
                <w:sz w:val="24"/>
                <w:szCs w:val="24"/>
              </w:rPr>
            </w:pPr>
            <w:r w:rsidRPr="00404E25">
              <w:rPr>
                <w:rFonts w:cs="Arial"/>
                <w:b/>
                <w:color w:val="000000" w:themeColor="text1"/>
                <w:sz w:val="24"/>
                <w:szCs w:val="24"/>
              </w:rPr>
              <w:t>Pataba/pasiūlymas</w:t>
            </w:r>
          </w:p>
        </w:tc>
      </w:tr>
      <w:tr w:rsidR="00ED3BF9" w:rsidRPr="00516DFD" w:rsidTr="001E0EF3">
        <w:tc>
          <w:tcPr>
            <w:tcW w:w="2126" w:type="dxa"/>
          </w:tcPr>
          <w:p w:rsidR="00ED3BF9" w:rsidRPr="00516DFD" w:rsidRDefault="00ED3BF9" w:rsidP="00343081">
            <w:pPr>
              <w:rPr>
                <w:rFonts w:cs="Arial"/>
                <w:color w:val="000000" w:themeColor="text1"/>
                <w:sz w:val="24"/>
                <w:szCs w:val="24"/>
              </w:rPr>
            </w:pPr>
            <w:r w:rsidRPr="00516DFD">
              <w:rPr>
                <w:rFonts w:cs="Arial"/>
                <w:color w:val="000000" w:themeColor="text1"/>
                <w:sz w:val="24"/>
                <w:szCs w:val="24"/>
              </w:rPr>
              <w:t xml:space="preserve">3. Patentuojamas išradimas/ registruojamas dizainas turi </w:t>
            </w:r>
            <w:r w:rsidRPr="00516DFD">
              <w:rPr>
                <w:rFonts w:cs="Arial"/>
                <w:color w:val="000000" w:themeColor="text1"/>
                <w:sz w:val="24"/>
                <w:szCs w:val="24"/>
              </w:rPr>
              <w:lastRenderedPageBreak/>
              <w:t>komercinį potencialą.</w:t>
            </w:r>
          </w:p>
        </w:tc>
        <w:tc>
          <w:tcPr>
            <w:tcW w:w="7938" w:type="dxa"/>
          </w:tcPr>
          <w:p w:rsidR="00ED3BF9" w:rsidRPr="00516DFD" w:rsidRDefault="00ED3BF9" w:rsidP="00343081">
            <w:pPr>
              <w:rPr>
                <w:rFonts w:cs="Arial"/>
                <w:color w:val="000000" w:themeColor="text1"/>
                <w:sz w:val="24"/>
                <w:szCs w:val="24"/>
              </w:rPr>
            </w:pPr>
            <w:r w:rsidRPr="00516DFD">
              <w:rPr>
                <w:rFonts w:cs="Arial"/>
                <w:color w:val="000000" w:themeColor="text1"/>
                <w:sz w:val="24"/>
                <w:szCs w:val="24"/>
              </w:rPr>
              <w:lastRenderedPageBreak/>
              <w:t xml:space="preserve">Aprašyme pateikiami šio kriterijaus vertinimo aspektai ir paaiškinimai  nėra pakankamai aiškūs ir stuktūrizuoti. </w:t>
            </w:r>
            <w:r w:rsidRPr="00516DFD">
              <w:rPr>
                <w:rFonts w:cs="Arial"/>
                <w:b/>
                <w:color w:val="000000" w:themeColor="text1"/>
                <w:sz w:val="24"/>
                <w:szCs w:val="24"/>
              </w:rPr>
              <w:t>Siūlome sukonkretinti ir struktūrizuoti taip</w:t>
            </w:r>
            <w:r w:rsidRPr="00516DFD">
              <w:rPr>
                <w:rFonts w:cs="Arial"/>
                <w:color w:val="000000" w:themeColor="text1"/>
                <w:sz w:val="24"/>
                <w:szCs w:val="24"/>
              </w:rPr>
              <w:t>:</w:t>
            </w:r>
          </w:p>
          <w:p w:rsidR="00ED3BF9" w:rsidRPr="00516DFD" w:rsidRDefault="00ED3BF9" w:rsidP="00343081">
            <w:pPr>
              <w:rPr>
                <w:rFonts w:cs="Arial"/>
                <w:i/>
                <w:color w:val="000000" w:themeColor="text1"/>
                <w:sz w:val="24"/>
                <w:szCs w:val="24"/>
              </w:rPr>
            </w:pPr>
            <w:r w:rsidRPr="00516DFD">
              <w:rPr>
                <w:rFonts w:cs="Arial"/>
                <w:bCs/>
                <w:i/>
                <w:color w:val="000000" w:themeColor="text1"/>
                <w:sz w:val="24"/>
                <w:szCs w:val="24"/>
                <w:lang w:eastAsia="lt-LT"/>
              </w:rPr>
              <w:t xml:space="preserve">Vertinama, ar patentuojamas išradimas/ registruojamas dizainas turi </w:t>
            </w:r>
            <w:r w:rsidRPr="00516DFD">
              <w:rPr>
                <w:rFonts w:cs="Arial"/>
                <w:bCs/>
                <w:i/>
                <w:color w:val="000000" w:themeColor="text1"/>
                <w:sz w:val="24"/>
                <w:szCs w:val="24"/>
                <w:lang w:eastAsia="lt-LT"/>
              </w:rPr>
              <w:lastRenderedPageBreak/>
              <w:t>komercinį potencialą, įvertinant:</w:t>
            </w:r>
          </w:p>
          <w:p w:rsidR="00ED3BF9" w:rsidRPr="00516DFD" w:rsidRDefault="00ED3BF9" w:rsidP="00343081">
            <w:pPr>
              <w:jc w:val="both"/>
              <w:rPr>
                <w:rFonts w:cs="Arial"/>
                <w:i/>
                <w:iCs/>
                <w:color w:val="000000" w:themeColor="text1"/>
                <w:sz w:val="24"/>
                <w:szCs w:val="24"/>
              </w:rPr>
            </w:pPr>
            <w:r w:rsidRPr="00516DFD">
              <w:rPr>
                <w:rFonts w:cs="Arial"/>
                <w:i/>
                <w:iCs/>
                <w:color w:val="000000" w:themeColor="text1"/>
                <w:sz w:val="24"/>
                <w:szCs w:val="24"/>
              </w:rPr>
              <w:t>1. Patentuojamo išradimo / registruojamo dizaino pagrindu kuriamo gaminio / paslaugos konkurencingumą, atsižvelgiant į konkurencinę aplinką, rinkos tendencijas, rinkos pasiskirstymą, prognozes, potencialius vartotojus ir pan.</w:t>
            </w:r>
          </w:p>
          <w:p w:rsidR="00ED3BF9" w:rsidRPr="00516DFD" w:rsidRDefault="00ED3BF9" w:rsidP="00343081">
            <w:pPr>
              <w:jc w:val="both"/>
              <w:rPr>
                <w:rFonts w:cs="Arial"/>
                <w:i/>
                <w:iCs/>
                <w:color w:val="000000" w:themeColor="text1"/>
                <w:sz w:val="24"/>
                <w:szCs w:val="24"/>
              </w:rPr>
            </w:pPr>
            <w:r w:rsidRPr="00516DFD">
              <w:rPr>
                <w:rFonts w:cs="Arial"/>
                <w:i/>
                <w:iCs/>
                <w:color w:val="000000" w:themeColor="text1"/>
                <w:sz w:val="24"/>
                <w:szCs w:val="24"/>
              </w:rPr>
              <w:t>2.  Patentuojamo išradimo / registruojamo dizaino pagrindu kuriamo gaminio / paslaugos vystymo verslo strategiją, siekiant pateikti gaminį / paslaugą numatytoms rinkoms ir užtikrinti komercinę jo sėkmę.</w:t>
            </w:r>
          </w:p>
          <w:p w:rsidR="00ED3BF9" w:rsidRPr="00516DFD" w:rsidRDefault="00ED3BF9" w:rsidP="00343081">
            <w:pPr>
              <w:jc w:val="both"/>
              <w:rPr>
                <w:rFonts w:cs="Arial"/>
                <w:i/>
                <w:iCs/>
                <w:color w:val="000000" w:themeColor="text1"/>
                <w:sz w:val="24"/>
                <w:szCs w:val="24"/>
              </w:rPr>
            </w:pPr>
            <w:r w:rsidRPr="00516DFD">
              <w:rPr>
                <w:rFonts w:cs="Arial"/>
                <w:i/>
                <w:iCs/>
                <w:color w:val="000000" w:themeColor="text1"/>
                <w:sz w:val="24"/>
                <w:szCs w:val="24"/>
              </w:rPr>
              <w:t>3. Patentuojamo išradimo / registruojamo dizaino savininko patirtį ir rezultatus komercinant panašios srities gaminius / paslaugas.</w:t>
            </w:r>
          </w:p>
          <w:p w:rsidR="00ED3BF9" w:rsidRPr="00516DFD" w:rsidRDefault="00ED3BF9" w:rsidP="00343081">
            <w:pPr>
              <w:rPr>
                <w:rFonts w:cs="Arial"/>
                <w:color w:val="000000" w:themeColor="text1"/>
                <w:sz w:val="24"/>
                <w:szCs w:val="24"/>
              </w:rPr>
            </w:pPr>
          </w:p>
          <w:p w:rsidR="00ED3BF9" w:rsidRPr="00516DFD" w:rsidRDefault="00ED3BF9" w:rsidP="00343081">
            <w:pPr>
              <w:rPr>
                <w:rFonts w:cs="Arial"/>
                <w:color w:val="000000" w:themeColor="text1"/>
                <w:sz w:val="24"/>
                <w:szCs w:val="24"/>
              </w:rPr>
            </w:pPr>
            <w:r w:rsidRPr="00516DFD">
              <w:rPr>
                <w:rFonts w:cs="Arial"/>
                <w:color w:val="000000" w:themeColor="text1"/>
                <w:sz w:val="24"/>
                <w:szCs w:val="24"/>
              </w:rPr>
              <w:t>Be to, iš aprašymo nėra aišku:</w:t>
            </w:r>
          </w:p>
          <w:p w:rsidR="00ED3BF9" w:rsidRPr="00516DFD" w:rsidRDefault="00ED3BF9" w:rsidP="00343081">
            <w:pPr>
              <w:pStyle w:val="ListParagraph"/>
              <w:numPr>
                <w:ilvl w:val="0"/>
                <w:numId w:val="2"/>
              </w:numPr>
              <w:rPr>
                <w:rFonts w:cs="Arial"/>
                <w:color w:val="000000" w:themeColor="text1"/>
                <w:sz w:val="24"/>
                <w:szCs w:val="24"/>
              </w:rPr>
            </w:pPr>
            <w:r w:rsidRPr="00516DFD">
              <w:rPr>
                <w:rFonts w:cs="Arial"/>
                <w:color w:val="000000" w:themeColor="text1"/>
                <w:sz w:val="24"/>
                <w:szCs w:val="24"/>
              </w:rPr>
              <w:t>pagal kokius kriterijus bus atrenkama ekspertinį vertinimą atliekanti institucija ir/ar ekspertai atliksiantys patentuojamo išradimo/ registruojamo dizaino komercinio potencialo vertinimą?</w:t>
            </w:r>
          </w:p>
          <w:p w:rsidR="00ED3BF9" w:rsidRPr="00516DFD" w:rsidRDefault="00ED3BF9" w:rsidP="00343081">
            <w:pPr>
              <w:pStyle w:val="ListParagraph"/>
              <w:numPr>
                <w:ilvl w:val="0"/>
                <w:numId w:val="2"/>
              </w:numPr>
              <w:rPr>
                <w:rFonts w:cs="Arial"/>
                <w:color w:val="000000" w:themeColor="text1"/>
                <w:sz w:val="24"/>
                <w:szCs w:val="24"/>
              </w:rPr>
            </w:pPr>
            <w:r w:rsidRPr="00516DFD">
              <w:rPr>
                <w:rFonts w:cs="Arial"/>
                <w:color w:val="000000" w:themeColor="text1"/>
                <w:sz w:val="24"/>
                <w:szCs w:val="24"/>
              </w:rPr>
              <w:t xml:space="preserve">kokią atsakomybę prisiims tokį ekspertinį vertinimą atliekanti institucija ar ekspertai? </w:t>
            </w:r>
          </w:p>
          <w:p w:rsidR="00ED3BF9" w:rsidRPr="00516DFD" w:rsidRDefault="00ED3BF9" w:rsidP="00343081">
            <w:pPr>
              <w:pStyle w:val="ListParagraph"/>
              <w:numPr>
                <w:ilvl w:val="0"/>
                <w:numId w:val="2"/>
              </w:numPr>
              <w:rPr>
                <w:rFonts w:cs="Arial"/>
                <w:color w:val="000000" w:themeColor="text1"/>
                <w:sz w:val="24"/>
                <w:szCs w:val="24"/>
              </w:rPr>
            </w:pPr>
            <w:r w:rsidRPr="00516DFD">
              <w:rPr>
                <w:rFonts w:cs="Arial"/>
                <w:color w:val="000000" w:themeColor="text1"/>
                <w:sz w:val="24"/>
                <w:szCs w:val="24"/>
              </w:rPr>
              <w:t>kaip bus elgiamasi situacijose, kai pavyzdžiui:</w:t>
            </w:r>
          </w:p>
          <w:p w:rsidR="00ED3BF9" w:rsidRPr="00516DFD" w:rsidRDefault="00ED3BF9" w:rsidP="00343081">
            <w:pPr>
              <w:pStyle w:val="ListParagraph"/>
              <w:numPr>
                <w:ilvl w:val="1"/>
                <w:numId w:val="2"/>
              </w:numPr>
              <w:rPr>
                <w:rFonts w:cs="Arial"/>
                <w:color w:val="000000" w:themeColor="text1"/>
                <w:sz w:val="24"/>
                <w:szCs w:val="24"/>
              </w:rPr>
            </w:pPr>
            <w:r w:rsidRPr="00516DFD">
              <w:rPr>
                <w:rFonts w:cs="Arial"/>
                <w:color w:val="000000" w:themeColor="text1"/>
                <w:sz w:val="24"/>
                <w:szCs w:val="24"/>
              </w:rPr>
              <w:t>ekspertai pripažins, kad yra komercinimo potencialas, tačiau po patentavimo išradimas ar dizainas negeneruos jokios ekonominės naudos (tai yra – bus neefektyviai investuotos lėšos į patentavimą);</w:t>
            </w:r>
          </w:p>
          <w:p w:rsidR="00ED3BF9" w:rsidRPr="00516DFD" w:rsidRDefault="00ED3BF9" w:rsidP="00343081">
            <w:pPr>
              <w:pStyle w:val="ListParagraph"/>
              <w:numPr>
                <w:ilvl w:val="1"/>
                <w:numId w:val="2"/>
              </w:numPr>
              <w:rPr>
                <w:rFonts w:cs="Arial"/>
                <w:color w:val="000000" w:themeColor="text1"/>
                <w:sz w:val="24"/>
                <w:szCs w:val="24"/>
              </w:rPr>
            </w:pPr>
            <w:r w:rsidRPr="00516DFD">
              <w:rPr>
                <w:rFonts w:cs="Arial"/>
                <w:color w:val="000000" w:themeColor="text1"/>
                <w:sz w:val="24"/>
                <w:szCs w:val="24"/>
              </w:rPr>
              <w:t>ekspertais pripažin</w:t>
            </w:r>
            <w:r w:rsidR="00912F36" w:rsidRPr="00516DFD">
              <w:rPr>
                <w:rFonts w:cs="Arial"/>
                <w:color w:val="000000" w:themeColor="text1"/>
                <w:sz w:val="24"/>
                <w:szCs w:val="24"/>
              </w:rPr>
              <w:t>s</w:t>
            </w:r>
            <w:r w:rsidRPr="00516DFD">
              <w:rPr>
                <w:rFonts w:cs="Arial"/>
                <w:color w:val="000000" w:themeColor="text1"/>
                <w:sz w:val="24"/>
                <w:szCs w:val="24"/>
              </w:rPr>
              <w:t>, kad nėra komercinimo potencialo, tačiau po patentavimo tik iš pareiškėjo lėšų  bus gaunamos didelės pajamos iš išradimo ar dizaino panaudojimo (tai yra – bus pažeistos pareiškėjo teisės į kompetentingą ir sąžiningą vertinimą, jei gaus paramą tie, kurie neturėjo realaus komercinimo potencialo).</w:t>
            </w:r>
          </w:p>
          <w:p w:rsidR="00ED3BF9" w:rsidRPr="00516DFD" w:rsidRDefault="00ED3BF9" w:rsidP="00343081">
            <w:pPr>
              <w:pStyle w:val="ListParagraph"/>
              <w:numPr>
                <w:ilvl w:val="0"/>
                <w:numId w:val="2"/>
              </w:numPr>
              <w:rPr>
                <w:rFonts w:cs="Arial"/>
                <w:color w:val="000000" w:themeColor="text1"/>
                <w:sz w:val="24"/>
                <w:szCs w:val="24"/>
              </w:rPr>
            </w:pPr>
            <w:r w:rsidRPr="00516DFD">
              <w:rPr>
                <w:rFonts w:cs="Arial"/>
                <w:color w:val="000000" w:themeColor="text1"/>
                <w:sz w:val="24"/>
                <w:szCs w:val="24"/>
              </w:rPr>
              <w:t xml:space="preserve">kada  </w:t>
            </w:r>
            <w:r w:rsidR="00FE12B6" w:rsidRPr="00516DFD">
              <w:rPr>
                <w:rFonts w:cs="Arial"/>
                <w:color w:val="000000" w:themeColor="text1"/>
                <w:sz w:val="24"/>
                <w:szCs w:val="24"/>
              </w:rPr>
              <w:t xml:space="preserve">kriterijai apibrėžiantys </w:t>
            </w:r>
            <w:r w:rsidRPr="00516DFD">
              <w:rPr>
                <w:rFonts w:cs="Arial"/>
                <w:color w:val="000000" w:themeColor="text1"/>
                <w:sz w:val="24"/>
                <w:szCs w:val="24"/>
              </w:rPr>
              <w:t>„investicijų grąžą“, „rinkos dydį“ ir „technologijos gyvybingumas“ yra pakankam</w:t>
            </w:r>
            <w:r w:rsidR="00FE12B6" w:rsidRPr="00516DFD">
              <w:rPr>
                <w:rFonts w:cs="Arial"/>
                <w:color w:val="000000" w:themeColor="text1"/>
                <w:sz w:val="24"/>
                <w:szCs w:val="24"/>
              </w:rPr>
              <w:t>i</w:t>
            </w:r>
            <w:r w:rsidRPr="00516DFD">
              <w:rPr>
                <w:rFonts w:cs="Arial"/>
                <w:color w:val="000000" w:themeColor="text1"/>
                <w:sz w:val="24"/>
                <w:szCs w:val="24"/>
              </w:rPr>
              <w:t>, ka</w:t>
            </w:r>
            <w:r w:rsidR="00FE12B6" w:rsidRPr="00516DFD">
              <w:rPr>
                <w:rFonts w:cs="Arial"/>
                <w:color w:val="000000" w:themeColor="text1"/>
                <w:sz w:val="24"/>
                <w:szCs w:val="24"/>
              </w:rPr>
              <w:t>d</w:t>
            </w:r>
            <w:r w:rsidRPr="00516DFD">
              <w:rPr>
                <w:rFonts w:cs="Arial"/>
                <w:color w:val="000000" w:themeColor="text1"/>
                <w:sz w:val="24"/>
                <w:szCs w:val="24"/>
              </w:rPr>
              <w:t xml:space="preserve"> skirti finansavimą.</w:t>
            </w:r>
          </w:p>
          <w:p w:rsidR="00912F36" w:rsidRPr="00516DFD" w:rsidRDefault="00912F36" w:rsidP="00343081">
            <w:pPr>
              <w:rPr>
                <w:rFonts w:cs="Arial"/>
                <w:color w:val="000000" w:themeColor="text1"/>
                <w:sz w:val="24"/>
                <w:szCs w:val="24"/>
              </w:rPr>
            </w:pPr>
          </w:p>
          <w:p w:rsidR="00ED3BF9" w:rsidRPr="00516DFD" w:rsidRDefault="00ED3BF9" w:rsidP="00343081">
            <w:pPr>
              <w:rPr>
                <w:rFonts w:cs="Arial"/>
                <w:color w:val="000000" w:themeColor="text1"/>
                <w:sz w:val="24"/>
                <w:szCs w:val="24"/>
              </w:rPr>
            </w:pPr>
            <w:r w:rsidRPr="00516DFD">
              <w:rPr>
                <w:rFonts w:cs="Arial"/>
                <w:color w:val="000000" w:themeColor="text1"/>
                <w:sz w:val="24"/>
                <w:szCs w:val="24"/>
              </w:rPr>
              <w:t>Prieš šių kriterijų tvirtinimą Stebėsenos komitete, prašome pateikti išsamius atsakymus į šiuos klausimus.</w:t>
            </w:r>
          </w:p>
          <w:p w:rsidR="00ED3BF9" w:rsidRPr="00516DFD" w:rsidRDefault="00ED3BF9" w:rsidP="00343081">
            <w:pPr>
              <w:rPr>
                <w:rFonts w:cs="Arial"/>
                <w:color w:val="000000" w:themeColor="text1"/>
                <w:sz w:val="24"/>
                <w:szCs w:val="24"/>
              </w:rPr>
            </w:pPr>
          </w:p>
          <w:p w:rsidR="00ED3BF9" w:rsidRPr="00516DFD" w:rsidRDefault="00ED3BF9" w:rsidP="00343081">
            <w:pPr>
              <w:rPr>
                <w:rFonts w:cs="EUAlbertina-Regu"/>
                <w:color w:val="000000" w:themeColor="text1"/>
                <w:sz w:val="24"/>
                <w:szCs w:val="24"/>
              </w:rPr>
            </w:pPr>
            <w:r w:rsidRPr="00516DFD">
              <w:rPr>
                <w:rFonts w:cs="Arial"/>
                <w:b/>
                <w:color w:val="000000" w:themeColor="text1"/>
                <w:sz w:val="24"/>
                <w:szCs w:val="24"/>
              </w:rPr>
              <w:t>Kaip alternatyvą, siūlome atsisakyti šio kriterijaus</w:t>
            </w:r>
            <w:r w:rsidRPr="00516DFD">
              <w:rPr>
                <w:rFonts w:cs="Arial"/>
                <w:color w:val="000000" w:themeColor="text1"/>
                <w:sz w:val="24"/>
                <w:szCs w:val="24"/>
              </w:rPr>
              <w:t xml:space="preserve"> – laikui imlaus (iš pareiškėjo pusės) detalaus ir išsamaus išradimo/dizaino komercinimo aparašymo ir brangaus kompetentingo ekspertinio vertinimo (iš vertintojų pusės), ir finansavimą skirti visoms paraiškoms, jei finansavimas bus skiriamas pagal BBIR 28 straipsnio 2a ir 3 nuostatas, kai p</w:t>
            </w:r>
            <w:r w:rsidRPr="00516DFD">
              <w:rPr>
                <w:rFonts w:cs="EUAlbertina-Regu"/>
                <w:color w:val="000000" w:themeColor="text1"/>
                <w:sz w:val="24"/>
                <w:szCs w:val="24"/>
              </w:rPr>
              <w:t>agalbos intensyvumas negali viršyti 50 % tinkamų finansuoti išlaidų.</w:t>
            </w:r>
          </w:p>
          <w:p w:rsidR="00912F36" w:rsidRPr="00516DFD" w:rsidRDefault="00912F36" w:rsidP="00343081">
            <w:pPr>
              <w:rPr>
                <w:rFonts w:cs="EUAlbertina-Regu"/>
                <w:color w:val="000000" w:themeColor="text1"/>
                <w:sz w:val="24"/>
                <w:szCs w:val="24"/>
              </w:rPr>
            </w:pPr>
          </w:p>
          <w:p w:rsidR="00912F36" w:rsidRPr="00516DFD" w:rsidRDefault="00ED3BF9" w:rsidP="00516DFD">
            <w:pPr>
              <w:rPr>
                <w:rFonts w:cs="Arial"/>
                <w:color w:val="000000" w:themeColor="text1"/>
                <w:sz w:val="24"/>
                <w:szCs w:val="24"/>
              </w:rPr>
            </w:pPr>
            <w:r w:rsidRPr="00516DFD">
              <w:rPr>
                <w:rFonts w:cs="EUAlbertina-Regu"/>
                <w:color w:val="000000" w:themeColor="text1"/>
                <w:sz w:val="24"/>
                <w:szCs w:val="24"/>
              </w:rPr>
              <w:t xml:space="preserve">Tai yra, </w:t>
            </w:r>
            <w:r w:rsidR="000D180E" w:rsidRPr="00516DFD">
              <w:rPr>
                <w:rFonts w:cs="EUAlbertina-Regu"/>
                <w:color w:val="000000" w:themeColor="text1"/>
                <w:sz w:val="24"/>
                <w:szCs w:val="24"/>
              </w:rPr>
              <w:t>rekomenduojame</w:t>
            </w:r>
            <w:r w:rsidRPr="00516DFD">
              <w:rPr>
                <w:rFonts w:cs="EUAlbertina-Regu"/>
                <w:color w:val="000000" w:themeColor="text1"/>
                <w:sz w:val="24"/>
                <w:szCs w:val="24"/>
              </w:rPr>
              <w:t xml:space="preserve"> skirti finansavimą visoms paraiškoms pagal jų pateikimo laiką, kol pakaks tam numatytų lėšų, vadovaujantis nuostata, kad jei pareiškėjas </w:t>
            </w:r>
            <w:r w:rsidR="00912F36" w:rsidRPr="00516DFD">
              <w:rPr>
                <w:rFonts w:cs="EUAlbertina-Regu"/>
                <w:color w:val="000000" w:themeColor="text1"/>
                <w:sz w:val="24"/>
                <w:szCs w:val="24"/>
              </w:rPr>
              <w:t xml:space="preserve">į tokią veiklą </w:t>
            </w:r>
            <w:r w:rsidRPr="00516DFD">
              <w:rPr>
                <w:rFonts w:cs="EUAlbertina-Regu"/>
                <w:color w:val="000000" w:themeColor="text1"/>
                <w:sz w:val="24"/>
                <w:szCs w:val="24"/>
              </w:rPr>
              <w:t>investuoja 50 % nuosavų lėšų, tai pagal verslo logiką rodo pakankamą komercinimo potencialą.</w:t>
            </w:r>
          </w:p>
        </w:tc>
      </w:tr>
    </w:tbl>
    <w:p w:rsidR="00ED3BF9" w:rsidRPr="00404E25" w:rsidRDefault="00ED3BF9" w:rsidP="00ED3BF9">
      <w:pPr>
        <w:spacing w:after="0" w:line="240" w:lineRule="auto"/>
        <w:rPr>
          <w:color w:val="000000" w:themeColor="text1"/>
          <w:sz w:val="24"/>
          <w:szCs w:val="24"/>
        </w:rPr>
      </w:pPr>
    </w:p>
    <w:p w:rsidR="000F1C1A" w:rsidRPr="00404E25" w:rsidRDefault="000F1C1A" w:rsidP="00ED3BF9">
      <w:pPr>
        <w:pStyle w:val="ListParagraph"/>
        <w:numPr>
          <w:ilvl w:val="0"/>
          <w:numId w:val="4"/>
        </w:numPr>
        <w:rPr>
          <w:b/>
          <w:color w:val="000000" w:themeColor="text1"/>
          <w:sz w:val="24"/>
          <w:szCs w:val="24"/>
        </w:rPr>
      </w:pPr>
      <w:r w:rsidRPr="00404E25">
        <w:rPr>
          <w:b/>
          <w:color w:val="000000" w:themeColor="text1"/>
          <w:sz w:val="24"/>
          <w:szCs w:val="24"/>
        </w:rPr>
        <w:t>Priemonė NR. 09.4.3-ESFA-K-827 „PAMEISTRYSTĖ“</w:t>
      </w:r>
    </w:p>
    <w:tbl>
      <w:tblPr>
        <w:tblStyle w:val="TableGrid"/>
        <w:tblW w:w="10064" w:type="dxa"/>
        <w:tblInd w:w="250" w:type="dxa"/>
        <w:tblLook w:val="04A0"/>
      </w:tblPr>
      <w:tblGrid>
        <w:gridCol w:w="2552"/>
        <w:gridCol w:w="7512"/>
      </w:tblGrid>
      <w:tr w:rsidR="000F1C1A" w:rsidRPr="00404E25" w:rsidTr="00022A46">
        <w:tc>
          <w:tcPr>
            <w:tcW w:w="2552" w:type="dxa"/>
          </w:tcPr>
          <w:p w:rsidR="000F1C1A" w:rsidRPr="00404E25" w:rsidRDefault="000F1C1A" w:rsidP="00090207">
            <w:pPr>
              <w:rPr>
                <w:rFonts w:cs="Arial"/>
                <w:b/>
                <w:color w:val="000000" w:themeColor="text1"/>
                <w:sz w:val="24"/>
                <w:szCs w:val="24"/>
              </w:rPr>
            </w:pPr>
            <w:r w:rsidRPr="00404E25">
              <w:rPr>
                <w:rFonts w:cs="Arial"/>
                <w:b/>
                <w:color w:val="000000" w:themeColor="text1"/>
                <w:sz w:val="24"/>
                <w:szCs w:val="24"/>
              </w:rPr>
              <w:t>Kriterijus</w:t>
            </w:r>
          </w:p>
        </w:tc>
        <w:tc>
          <w:tcPr>
            <w:tcW w:w="7512" w:type="dxa"/>
          </w:tcPr>
          <w:p w:rsidR="000F1C1A" w:rsidRPr="00404E25" w:rsidRDefault="000F1C1A" w:rsidP="00090207">
            <w:pPr>
              <w:rPr>
                <w:rFonts w:cs="Arial"/>
                <w:b/>
                <w:color w:val="000000" w:themeColor="text1"/>
                <w:sz w:val="24"/>
                <w:szCs w:val="24"/>
              </w:rPr>
            </w:pPr>
            <w:r w:rsidRPr="00404E25">
              <w:rPr>
                <w:rFonts w:cs="Arial"/>
                <w:b/>
                <w:color w:val="000000" w:themeColor="text1"/>
                <w:sz w:val="24"/>
                <w:szCs w:val="24"/>
              </w:rPr>
              <w:t>Pataba/pasiūlymas</w:t>
            </w:r>
          </w:p>
        </w:tc>
      </w:tr>
      <w:tr w:rsidR="00C73554" w:rsidRPr="00404E25" w:rsidTr="00022A46">
        <w:tc>
          <w:tcPr>
            <w:tcW w:w="2552" w:type="dxa"/>
          </w:tcPr>
          <w:p w:rsidR="00C73554" w:rsidRPr="00404E25" w:rsidRDefault="00C73554" w:rsidP="00090207">
            <w:pPr>
              <w:rPr>
                <w:rFonts w:cs="Arial"/>
                <w:color w:val="000000" w:themeColor="text1"/>
                <w:sz w:val="24"/>
                <w:szCs w:val="24"/>
              </w:rPr>
            </w:pPr>
            <w:r w:rsidRPr="00404E25">
              <w:rPr>
                <w:rFonts w:cs="Arial"/>
                <w:color w:val="000000" w:themeColor="text1"/>
                <w:sz w:val="24"/>
                <w:szCs w:val="24"/>
              </w:rPr>
              <w:t xml:space="preserve">2. Pareiškėjas yra privatus juridinis asmuo, valstybės ar </w:t>
            </w:r>
            <w:r w:rsidRPr="00404E25">
              <w:rPr>
                <w:rFonts w:cs="Arial"/>
                <w:color w:val="000000" w:themeColor="text1"/>
                <w:sz w:val="24"/>
                <w:szCs w:val="24"/>
              </w:rPr>
              <w:lastRenderedPageBreak/>
              <w:t xml:space="preserve">savivaldybės įmonė (toliau – įmonė), kurio bendroje pardavimo struktūroje </w:t>
            </w:r>
            <w:r w:rsidRPr="00404E25">
              <w:rPr>
                <w:rFonts w:cs="Arial"/>
                <w:b/>
                <w:color w:val="000000" w:themeColor="text1"/>
                <w:sz w:val="24"/>
                <w:szCs w:val="24"/>
              </w:rPr>
              <w:t>ne mažiau kaip 70 procentų sudaro paties pareiškėjo pagamintos produkcijos</w:t>
            </w:r>
            <w:r w:rsidRPr="00404E25">
              <w:rPr>
                <w:rFonts w:cs="Arial"/>
                <w:color w:val="000000" w:themeColor="text1"/>
                <w:sz w:val="24"/>
                <w:szCs w:val="24"/>
              </w:rPr>
              <w:t xml:space="preserve"> (suteiktų paslaugų) pardavimai.</w:t>
            </w:r>
          </w:p>
        </w:tc>
        <w:tc>
          <w:tcPr>
            <w:tcW w:w="7512" w:type="dxa"/>
            <w:vMerge w:val="restart"/>
          </w:tcPr>
          <w:p w:rsidR="00C73554" w:rsidRPr="00404E25" w:rsidRDefault="00C73554" w:rsidP="000F1C1A">
            <w:pPr>
              <w:rPr>
                <w:rFonts w:cs="Arial"/>
                <w:color w:val="000000" w:themeColor="text1"/>
                <w:sz w:val="24"/>
                <w:szCs w:val="24"/>
              </w:rPr>
            </w:pPr>
            <w:r w:rsidRPr="00404E25">
              <w:rPr>
                <w:rFonts w:cs="Arial"/>
                <w:color w:val="000000" w:themeColor="text1"/>
                <w:sz w:val="24"/>
                <w:szCs w:val="24"/>
              </w:rPr>
              <w:lastRenderedPageBreak/>
              <w:t>Ūkio subjektai, siekdami mažinti verslo riziką, dažnu atveju diversifikuoja savo veiklą vykdydami skirtingas veiklas (pagal EVRK2). Tai apima ir gamybos bei prekybos veiklas.</w:t>
            </w:r>
          </w:p>
          <w:p w:rsidR="00C73554" w:rsidRPr="00404E25" w:rsidRDefault="00C73554" w:rsidP="000F1C1A">
            <w:pPr>
              <w:rPr>
                <w:rFonts w:cs="Arial"/>
                <w:color w:val="000000" w:themeColor="text1"/>
                <w:sz w:val="24"/>
                <w:szCs w:val="24"/>
              </w:rPr>
            </w:pPr>
            <w:r w:rsidRPr="00404E25">
              <w:rPr>
                <w:rFonts w:cs="Arial"/>
                <w:color w:val="000000" w:themeColor="text1"/>
                <w:sz w:val="24"/>
                <w:szCs w:val="24"/>
              </w:rPr>
              <w:lastRenderedPageBreak/>
              <w:t xml:space="preserve">Šis nurodytas kriterijus </w:t>
            </w:r>
            <w:r w:rsidR="00912F36">
              <w:rPr>
                <w:rFonts w:cs="Arial"/>
                <w:color w:val="000000" w:themeColor="text1"/>
                <w:sz w:val="24"/>
                <w:szCs w:val="24"/>
              </w:rPr>
              <w:t xml:space="preserve">sudaro </w:t>
            </w:r>
            <w:r w:rsidRPr="00404E25">
              <w:rPr>
                <w:rFonts w:cs="Arial"/>
                <w:color w:val="000000" w:themeColor="text1"/>
                <w:sz w:val="24"/>
                <w:szCs w:val="24"/>
              </w:rPr>
              <w:t>nelygias konkurencines sąlygas subjekt</w:t>
            </w:r>
            <w:r w:rsidR="00912F36">
              <w:rPr>
                <w:rFonts w:cs="Arial"/>
                <w:color w:val="000000" w:themeColor="text1"/>
                <w:sz w:val="24"/>
                <w:szCs w:val="24"/>
              </w:rPr>
              <w:t>ams</w:t>
            </w:r>
            <w:r w:rsidRPr="00404E25">
              <w:rPr>
                <w:rFonts w:cs="Arial"/>
                <w:color w:val="000000" w:themeColor="text1"/>
                <w:sz w:val="24"/>
                <w:szCs w:val="24"/>
              </w:rPr>
              <w:t>, kurie greta gamybos vykdo ir prekybinę veiklą (pvz. kuo blogesnis yra subjektas, kuris turi 20 ml. eurų apyvartą, kurioje gamyba yra 9 mln. Eurų už subjektą, kuris turi 9 mln. apyvartos tik iš gamybos?).</w:t>
            </w:r>
          </w:p>
          <w:p w:rsidR="00C73554" w:rsidRPr="00404E25" w:rsidRDefault="00C73554" w:rsidP="000F1C1A">
            <w:pPr>
              <w:rPr>
                <w:rFonts w:cs="Arial"/>
                <w:color w:val="000000" w:themeColor="text1"/>
                <w:sz w:val="24"/>
                <w:szCs w:val="24"/>
              </w:rPr>
            </w:pPr>
            <w:r w:rsidRPr="00404E25">
              <w:rPr>
                <w:rFonts w:cs="Arial"/>
                <w:color w:val="000000" w:themeColor="text1"/>
                <w:sz w:val="24"/>
                <w:szCs w:val="24"/>
              </w:rPr>
              <w:t>Pame</w:t>
            </w:r>
            <w:r w:rsidR="00A263E9" w:rsidRPr="00404E25">
              <w:rPr>
                <w:rFonts w:cs="Arial"/>
                <w:color w:val="000000" w:themeColor="text1"/>
                <w:sz w:val="24"/>
                <w:szCs w:val="24"/>
              </w:rPr>
              <w:t>i</w:t>
            </w:r>
            <w:r w:rsidRPr="00404E25">
              <w:rPr>
                <w:rFonts w:cs="Arial"/>
                <w:color w:val="000000" w:themeColor="text1"/>
                <w:sz w:val="24"/>
                <w:szCs w:val="24"/>
              </w:rPr>
              <w:t>strystė</w:t>
            </w:r>
            <w:r w:rsidR="00912F36">
              <w:rPr>
                <w:rFonts w:cs="Arial"/>
                <w:color w:val="000000" w:themeColor="text1"/>
                <w:sz w:val="24"/>
                <w:szCs w:val="24"/>
              </w:rPr>
              <w:t>s</w:t>
            </w:r>
            <w:r w:rsidR="00A263E9" w:rsidRPr="00404E25">
              <w:rPr>
                <w:rFonts w:cs="Arial"/>
                <w:color w:val="000000" w:themeColor="text1"/>
                <w:sz w:val="24"/>
                <w:szCs w:val="24"/>
              </w:rPr>
              <w:t xml:space="preserve"> </w:t>
            </w:r>
            <w:r w:rsidRPr="00404E25">
              <w:rPr>
                <w:rFonts w:cs="Arial"/>
                <w:color w:val="000000" w:themeColor="text1"/>
                <w:sz w:val="24"/>
                <w:szCs w:val="24"/>
              </w:rPr>
              <w:t xml:space="preserve">būdu </w:t>
            </w:r>
            <w:r w:rsidR="00A263E9" w:rsidRPr="00404E25">
              <w:rPr>
                <w:rFonts w:cs="Arial"/>
                <w:color w:val="000000" w:themeColor="text1"/>
                <w:sz w:val="24"/>
                <w:szCs w:val="24"/>
              </w:rPr>
              <w:t>(</w:t>
            </w:r>
            <w:r w:rsidR="00912F36">
              <w:rPr>
                <w:rFonts w:cs="Arial"/>
                <w:color w:val="000000" w:themeColor="text1"/>
                <w:sz w:val="24"/>
                <w:szCs w:val="24"/>
              </w:rPr>
              <w:t>pa</w:t>
            </w:r>
            <w:r w:rsidR="00A263E9" w:rsidRPr="00404E25">
              <w:rPr>
                <w:rFonts w:cs="Arial"/>
                <w:color w:val="000000" w:themeColor="text1"/>
                <w:sz w:val="24"/>
                <w:szCs w:val="24"/>
              </w:rPr>
              <w:t xml:space="preserve">gal jos prigimtį ir paskirtį) </w:t>
            </w:r>
            <w:r w:rsidRPr="00404E25">
              <w:rPr>
                <w:rFonts w:cs="Arial"/>
                <w:color w:val="000000" w:themeColor="text1"/>
                <w:sz w:val="24"/>
                <w:szCs w:val="24"/>
              </w:rPr>
              <w:t>suformuotos kompetencijos skiriamos gamybinėms užduotims efektyviau atlikti, o ne prekybin</w:t>
            </w:r>
            <w:r w:rsidR="00912F36">
              <w:rPr>
                <w:rFonts w:cs="Arial"/>
                <w:color w:val="000000" w:themeColor="text1"/>
                <w:sz w:val="24"/>
                <w:szCs w:val="24"/>
              </w:rPr>
              <w:t>ei</w:t>
            </w:r>
            <w:r w:rsidRPr="00404E25">
              <w:rPr>
                <w:rFonts w:cs="Arial"/>
                <w:color w:val="000000" w:themeColor="text1"/>
                <w:sz w:val="24"/>
                <w:szCs w:val="24"/>
              </w:rPr>
              <w:t xml:space="preserve"> veiklai plėtoti. Reikalavim</w:t>
            </w:r>
            <w:r w:rsidR="00A263E9" w:rsidRPr="00404E25">
              <w:rPr>
                <w:rFonts w:cs="Arial"/>
                <w:color w:val="000000" w:themeColor="text1"/>
                <w:sz w:val="24"/>
                <w:szCs w:val="24"/>
              </w:rPr>
              <w:t>us</w:t>
            </w:r>
            <w:r w:rsidRPr="00404E25">
              <w:rPr>
                <w:rFonts w:cs="Arial"/>
                <w:color w:val="000000" w:themeColor="text1"/>
                <w:sz w:val="24"/>
                <w:szCs w:val="24"/>
              </w:rPr>
              <w:t>, kompetencijoms</w:t>
            </w:r>
            <w:r w:rsidR="00A263E9" w:rsidRPr="00404E25">
              <w:rPr>
                <w:rFonts w:cs="Arial"/>
                <w:color w:val="000000" w:themeColor="text1"/>
                <w:sz w:val="24"/>
                <w:szCs w:val="24"/>
              </w:rPr>
              <w:t>,</w:t>
            </w:r>
            <w:r w:rsidRPr="00404E25">
              <w:rPr>
                <w:rFonts w:cs="Arial"/>
                <w:color w:val="000000" w:themeColor="text1"/>
                <w:sz w:val="24"/>
                <w:szCs w:val="24"/>
              </w:rPr>
              <w:t xml:space="preserve"> kurios gali būti formuojamos pame</w:t>
            </w:r>
            <w:r w:rsidR="00912F36">
              <w:rPr>
                <w:rFonts w:cs="Arial"/>
                <w:color w:val="000000" w:themeColor="text1"/>
                <w:sz w:val="24"/>
                <w:szCs w:val="24"/>
              </w:rPr>
              <w:t>i</w:t>
            </w:r>
            <w:r w:rsidRPr="00404E25">
              <w:rPr>
                <w:rFonts w:cs="Arial"/>
                <w:color w:val="000000" w:themeColor="text1"/>
                <w:sz w:val="24"/>
                <w:szCs w:val="24"/>
              </w:rPr>
              <w:t>s</w:t>
            </w:r>
            <w:r w:rsidR="00912F36">
              <w:rPr>
                <w:rFonts w:cs="Arial"/>
                <w:color w:val="000000" w:themeColor="text1"/>
                <w:sz w:val="24"/>
                <w:szCs w:val="24"/>
              </w:rPr>
              <w:t>t</w:t>
            </w:r>
            <w:r w:rsidRPr="00404E25">
              <w:rPr>
                <w:rFonts w:cs="Arial"/>
                <w:color w:val="000000" w:themeColor="text1"/>
                <w:sz w:val="24"/>
                <w:szCs w:val="24"/>
              </w:rPr>
              <w:t>ry</w:t>
            </w:r>
            <w:r w:rsidR="00912F36">
              <w:rPr>
                <w:rFonts w:cs="Arial"/>
                <w:color w:val="000000" w:themeColor="text1"/>
                <w:sz w:val="24"/>
                <w:szCs w:val="24"/>
              </w:rPr>
              <w:t>s</w:t>
            </w:r>
            <w:r w:rsidRPr="00404E25">
              <w:rPr>
                <w:rFonts w:cs="Arial"/>
                <w:color w:val="000000" w:themeColor="text1"/>
                <w:sz w:val="24"/>
                <w:szCs w:val="24"/>
              </w:rPr>
              <w:t>tės būdu galima įvardinti priemonės FSA.</w:t>
            </w:r>
          </w:p>
          <w:p w:rsidR="00C73554" w:rsidRPr="00404E25" w:rsidRDefault="00C73554" w:rsidP="000F1C1A">
            <w:pPr>
              <w:rPr>
                <w:rFonts w:cs="Arial"/>
                <w:color w:val="000000" w:themeColor="text1"/>
                <w:sz w:val="24"/>
                <w:szCs w:val="24"/>
                <w:lang w:val="en-US"/>
              </w:rPr>
            </w:pPr>
            <w:r w:rsidRPr="00404E25">
              <w:rPr>
                <w:rFonts w:cs="Arial"/>
                <w:color w:val="000000" w:themeColor="text1"/>
                <w:sz w:val="24"/>
                <w:szCs w:val="24"/>
              </w:rPr>
              <w:t>Manome, kad vidutinės metinės pajamos 50 000 Eur. yra n</w:t>
            </w:r>
            <w:r w:rsidR="00912F36">
              <w:rPr>
                <w:rFonts w:cs="Arial"/>
                <w:color w:val="000000" w:themeColor="text1"/>
                <w:sz w:val="24"/>
                <w:szCs w:val="24"/>
              </w:rPr>
              <w:t>eproporcingai</w:t>
            </w:r>
            <w:r w:rsidRPr="00404E25">
              <w:rPr>
                <w:rFonts w:cs="Arial"/>
                <w:color w:val="000000" w:themeColor="text1"/>
                <w:sz w:val="24"/>
                <w:szCs w:val="24"/>
              </w:rPr>
              <w:t xml:space="preserve"> maža suma, įvardijant potencialą ir poreikį efektyviai didinti darbuotojų konpetencijas pameistrystės būdu. Labai mažose įmonėse bus ne</w:t>
            </w:r>
            <w:r w:rsidR="00912F36">
              <w:rPr>
                <w:rFonts w:cs="Arial"/>
                <w:color w:val="000000" w:themeColor="text1"/>
                <w:sz w:val="24"/>
                <w:szCs w:val="24"/>
              </w:rPr>
              <w:t>proporcingai</w:t>
            </w:r>
            <w:r w:rsidRPr="00404E25">
              <w:rPr>
                <w:rFonts w:cs="Arial"/>
                <w:color w:val="000000" w:themeColor="text1"/>
                <w:sz w:val="24"/>
                <w:szCs w:val="24"/>
              </w:rPr>
              <w:t xml:space="preserve"> didelės investijos, norint užtikrinat pvz. vieno darbuotojo mokymą, kad ne mažiau kaip 60 procentų mokymų, vykdomų pameistrystės būdu, </w:t>
            </w:r>
            <w:r w:rsidR="00912F36">
              <w:rPr>
                <w:rFonts w:cs="Arial"/>
                <w:color w:val="000000" w:themeColor="text1"/>
                <w:sz w:val="24"/>
                <w:szCs w:val="24"/>
              </w:rPr>
              <w:t>būtų vykdomos</w:t>
            </w:r>
            <w:r w:rsidRPr="00404E25">
              <w:rPr>
                <w:rFonts w:cs="Arial"/>
                <w:color w:val="000000" w:themeColor="text1"/>
                <w:sz w:val="24"/>
                <w:szCs w:val="24"/>
              </w:rPr>
              <w:t xml:space="preserve"> darbo vietoje, kaip to reikalauja kriterijus Nr.</w:t>
            </w:r>
            <w:r w:rsidRPr="00404E25">
              <w:rPr>
                <w:rFonts w:cs="Arial"/>
                <w:color w:val="000000" w:themeColor="text1"/>
                <w:sz w:val="24"/>
                <w:szCs w:val="24"/>
                <w:lang w:val="en-US"/>
              </w:rPr>
              <w:t>4.</w:t>
            </w:r>
          </w:p>
          <w:p w:rsidR="00AB1803" w:rsidRPr="00404E25" w:rsidRDefault="00AB1803" w:rsidP="000F1C1A">
            <w:pPr>
              <w:rPr>
                <w:rFonts w:cs="Arial"/>
                <w:b/>
                <w:color w:val="000000" w:themeColor="text1"/>
                <w:sz w:val="24"/>
                <w:szCs w:val="24"/>
              </w:rPr>
            </w:pPr>
          </w:p>
          <w:p w:rsidR="00C73554" w:rsidRPr="00404E25" w:rsidRDefault="00C73554" w:rsidP="000F1C1A">
            <w:pPr>
              <w:rPr>
                <w:rFonts w:cs="Arial"/>
                <w:b/>
                <w:color w:val="000000" w:themeColor="text1"/>
                <w:sz w:val="24"/>
                <w:szCs w:val="24"/>
              </w:rPr>
            </w:pPr>
            <w:r w:rsidRPr="00404E25">
              <w:rPr>
                <w:rFonts w:cs="Arial"/>
                <w:b/>
                <w:color w:val="000000" w:themeColor="text1"/>
                <w:sz w:val="24"/>
                <w:szCs w:val="24"/>
              </w:rPr>
              <w:t>Siūlome atsisakyti šio kriterijaus, o vietoj jo taikyti šį (apjungiant kartu su kriterijumi Nr.</w:t>
            </w:r>
            <w:r w:rsidRPr="00404E25">
              <w:rPr>
                <w:rFonts w:cs="Arial"/>
                <w:b/>
                <w:color w:val="000000" w:themeColor="text1"/>
                <w:sz w:val="24"/>
                <w:szCs w:val="24"/>
                <w:lang w:val="en-US"/>
              </w:rPr>
              <w:t>3</w:t>
            </w:r>
            <w:r w:rsidRPr="00404E25">
              <w:rPr>
                <w:rFonts w:cs="Arial"/>
                <w:b/>
                <w:color w:val="000000" w:themeColor="text1"/>
                <w:sz w:val="24"/>
                <w:szCs w:val="24"/>
              </w:rPr>
              <w:t>):</w:t>
            </w:r>
          </w:p>
          <w:p w:rsidR="00C73554" w:rsidRPr="00404E25" w:rsidRDefault="00C73554" w:rsidP="000F1C1A">
            <w:pPr>
              <w:rPr>
                <w:rFonts w:cs="Arial"/>
                <w:color w:val="000000" w:themeColor="text1"/>
                <w:sz w:val="24"/>
                <w:szCs w:val="24"/>
              </w:rPr>
            </w:pPr>
            <w:r w:rsidRPr="00404E25">
              <w:rPr>
                <w:rFonts w:cs="Arial"/>
                <w:color w:val="000000" w:themeColor="text1"/>
                <w:sz w:val="24"/>
                <w:szCs w:val="24"/>
              </w:rPr>
              <w:t>Pareiškėjas yra privatus juridinis asmuo, valstybės ar savivaldybės įmonė (toliau – įmonė),</w:t>
            </w:r>
            <w:r w:rsidRPr="00404E25">
              <w:rPr>
                <w:rFonts w:eastAsia="Calibri" w:cs="Arial"/>
                <w:i/>
                <w:color w:val="000000" w:themeColor="text1"/>
                <w:sz w:val="24"/>
                <w:szCs w:val="24"/>
              </w:rPr>
              <w:t xml:space="preserve"> kurio vidutinės </w:t>
            </w:r>
            <w:r w:rsidRPr="000D180E">
              <w:rPr>
                <w:rFonts w:eastAsia="Calibri" w:cs="Arial"/>
                <w:i/>
                <w:color w:val="000000" w:themeColor="text1"/>
                <w:sz w:val="24"/>
                <w:szCs w:val="24"/>
              </w:rPr>
              <w:t xml:space="preserve">pačios MVĮ pagamintos produkcijos pajamos </w:t>
            </w:r>
            <w:r w:rsidRPr="00404E25">
              <w:rPr>
                <w:rFonts w:eastAsia="Calibri" w:cs="Arial"/>
                <w:i/>
                <w:color w:val="000000" w:themeColor="text1"/>
                <w:sz w:val="24"/>
                <w:szCs w:val="24"/>
              </w:rPr>
              <w:t>pagal paskutinės patvirtintos metinės finansinės atskaitomybės dokumentus yra ne mažesnės kaip 145 000 Eur.</w:t>
            </w:r>
          </w:p>
        </w:tc>
      </w:tr>
      <w:tr w:rsidR="00C73554" w:rsidRPr="00404E25" w:rsidTr="00022A46">
        <w:tc>
          <w:tcPr>
            <w:tcW w:w="2552" w:type="dxa"/>
          </w:tcPr>
          <w:p w:rsidR="00C73554" w:rsidRPr="00404E25" w:rsidRDefault="00C73554" w:rsidP="00090207">
            <w:pPr>
              <w:rPr>
                <w:rFonts w:cs="Arial"/>
                <w:color w:val="000000" w:themeColor="text1"/>
                <w:sz w:val="24"/>
                <w:szCs w:val="24"/>
              </w:rPr>
            </w:pPr>
            <w:r w:rsidRPr="00404E25">
              <w:rPr>
                <w:rFonts w:cs="Arial"/>
                <w:color w:val="000000" w:themeColor="text1"/>
                <w:sz w:val="24"/>
                <w:szCs w:val="24"/>
              </w:rPr>
              <w:lastRenderedPageBreak/>
              <w:t xml:space="preserve">3. Pareiškėjas yra įmonė, veikianti ne trumpiau kaip vienerius metus ir kurios </w:t>
            </w:r>
            <w:r w:rsidRPr="00404E25">
              <w:rPr>
                <w:rFonts w:cs="Arial"/>
                <w:b/>
                <w:color w:val="000000" w:themeColor="text1"/>
                <w:sz w:val="24"/>
                <w:szCs w:val="24"/>
              </w:rPr>
              <w:t>vidutinės metinės pajamos</w:t>
            </w:r>
            <w:r w:rsidRPr="00404E25">
              <w:rPr>
                <w:rFonts w:cs="Arial"/>
                <w:color w:val="000000" w:themeColor="text1"/>
                <w:sz w:val="24"/>
                <w:szCs w:val="24"/>
              </w:rPr>
              <w:t xml:space="preserve"> per trejus finansinius metus iki paraiškos pateikimo arba pajamos per laikotarpį nuo įmonės įregistravimo dienos (jeigu įmonė vykdė veiklą mažiau nei trejus finansinius metus) </w:t>
            </w:r>
            <w:r w:rsidRPr="00404E25">
              <w:rPr>
                <w:rFonts w:cs="Arial"/>
                <w:b/>
                <w:color w:val="000000" w:themeColor="text1"/>
                <w:sz w:val="24"/>
                <w:szCs w:val="24"/>
              </w:rPr>
              <w:t>yra ne mažesnės kaip 50 000 Eur.</w:t>
            </w:r>
          </w:p>
        </w:tc>
        <w:tc>
          <w:tcPr>
            <w:tcW w:w="7512" w:type="dxa"/>
            <w:vMerge/>
          </w:tcPr>
          <w:p w:rsidR="00C73554" w:rsidRPr="00404E25" w:rsidRDefault="00C73554" w:rsidP="00090207">
            <w:pPr>
              <w:rPr>
                <w:rFonts w:cs="Arial"/>
                <w:color w:val="000000" w:themeColor="text1"/>
                <w:sz w:val="24"/>
                <w:szCs w:val="24"/>
              </w:rPr>
            </w:pPr>
          </w:p>
        </w:tc>
      </w:tr>
      <w:tr w:rsidR="00D55B31" w:rsidRPr="00404E25" w:rsidTr="00516DFD">
        <w:trPr>
          <w:trHeight w:val="2423"/>
        </w:trPr>
        <w:tc>
          <w:tcPr>
            <w:tcW w:w="2552" w:type="dxa"/>
          </w:tcPr>
          <w:p w:rsidR="00D55B31" w:rsidRPr="00404E25" w:rsidRDefault="00D55B31" w:rsidP="00090207">
            <w:pPr>
              <w:rPr>
                <w:rFonts w:cs="Arial"/>
                <w:b/>
                <w:bCs/>
                <w:color w:val="000000" w:themeColor="text1"/>
                <w:sz w:val="24"/>
                <w:szCs w:val="24"/>
                <w:lang w:eastAsia="lt-LT"/>
              </w:rPr>
            </w:pPr>
            <w:r w:rsidRPr="00404E25">
              <w:rPr>
                <w:rFonts w:cs="Arial"/>
                <w:color w:val="000000" w:themeColor="text1"/>
                <w:sz w:val="24"/>
                <w:szCs w:val="24"/>
              </w:rPr>
              <w:t xml:space="preserve">6. </w:t>
            </w:r>
            <w:r w:rsidRPr="00404E25">
              <w:rPr>
                <w:rFonts w:cs="Arial"/>
                <w:b/>
                <w:color w:val="000000" w:themeColor="text1"/>
                <w:sz w:val="24"/>
                <w:szCs w:val="24"/>
              </w:rPr>
              <w:t>Su ne mažiau kaip 30 procentų</w:t>
            </w:r>
            <w:r w:rsidRPr="00404E25">
              <w:rPr>
                <w:rFonts w:cs="Arial"/>
                <w:color w:val="000000" w:themeColor="text1"/>
                <w:sz w:val="24"/>
                <w:szCs w:val="24"/>
              </w:rPr>
              <w:t xml:space="preserve"> pameistrystės būdu apmokytų darbuotojų bus sudaryta darbo sutartis atlikti funkcijoms pagal mokymų metu įgytą kompetenciją.</w:t>
            </w:r>
          </w:p>
        </w:tc>
        <w:tc>
          <w:tcPr>
            <w:tcW w:w="7512" w:type="dxa"/>
          </w:tcPr>
          <w:p w:rsidR="00094ECD" w:rsidRPr="00094ECD" w:rsidRDefault="00094ECD" w:rsidP="00094ECD">
            <w:pPr>
              <w:shd w:val="clear" w:color="auto" w:fill="FFFFFF"/>
              <w:rPr>
                <w:rFonts w:ascii="Times New Roman" w:hAnsi="Times New Roman" w:cs="Times New Roman"/>
                <w:color w:val="222222"/>
                <w:sz w:val="24"/>
                <w:szCs w:val="24"/>
                <w:lang w:val="en-US"/>
              </w:rPr>
            </w:pPr>
            <w:proofErr w:type="spellStart"/>
            <w:r w:rsidRPr="00094ECD">
              <w:rPr>
                <w:rFonts w:ascii="Calibri" w:hAnsi="Calibri" w:cs="Times New Roman"/>
                <w:color w:val="000000"/>
                <w:sz w:val="24"/>
                <w:szCs w:val="24"/>
                <w:lang w:val="en-US"/>
              </w:rPr>
              <w:t>Šis</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kriterijus</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yra</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prioritetinis</w:t>
            </w:r>
            <w:proofErr w:type="spellEnd"/>
            <w:proofErr w:type="gramStart"/>
            <w:r w:rsidRPr="00094ECD">
              <w:rPr>
                <w:rFonts w:ascii="Calibri" w:hAnsi="Calibri" w:cs="Times New Roman"/>
                <w:color w:val="000000"/>
                <w:sz w:val="24"/>
                <w:szCs w:val="24"/>
                <w:lang w:val="en-US"/>
              </w:rPr>
              <w:t>  -</w:t>
            </w:r>
            <w:proofErr w:type="gram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už</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didesnį</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procentą</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skiriama</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daugiau</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balų</w:t>
            </w:r>
            <w:proofErr w:type="spellEnd"/>
            <w:r w:rsidRPr="00094ECD">
              <w:rPr>
                <w:rFonts w:ascii="Calibri" w:hAnsi="Calibri" w:cs="Times New Roman"/>
                <w:color w:val="000000"/>
                <w:sz w:val="24"/>
                <w:szCs w:val="24"/>
                <w:lang w:val="en-US"/>
              </w:rPr>
              <w:t>.</w:t>
            </w:r>
          </w:p>
          <w:p w:rsidR="00094ECD" w:rsidRPr="00094ECD" w:rsidRDefault="00094ECD" w:rsidP="00094ECD">
            <w:pPr>
              <w:shd w:val="clear" w:color="auto" w:fill="FFFFFF"/>
              <w:rPr>
                <w:rFonts w:ascii="Times New Roman" w:hAnsi="Times New Roman" w:cs="Times New Roman"/>
                <w:color w:val="222222"/>
                <w:sz w:val="24"/>
                <w:szCs w:val="24"/>
                <w:lang w:val="en-US"/>
              </w:rPr>
            </w:pPr>
            <w:proofErr w:type="spellStart"/>
            <w:r w:rsidRPr="00094ECD">
              <w:rPr>
                <w:rFonts w:ascii="Calibri" w:hAnsi="Calibri" w:cs="Times New Roman"/>
                <w:color w:val="000000"/>
                <w:sz w:val="24"/>
                <w:szCs w:val="24"/>
                <w:lang w:val="en-US"/>
              </w:rPr>
              <w:t>Siekiant</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apriboti</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galimą</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piknaudžiavimą</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dirbtinai</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didinti</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pameistrystės</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būdu</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apmokytų</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darbuotojų</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įdarbinimo</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procentą</w:t>
            </w:r>
            <w:proofErr w:type="spellEnd"/>
            <w:r w:rsidRPr="00094ECD">
              <w:rPr>
                <w:rFonts w:ascii="Calibri" w:hAnsi="Calibri" w:cs="Times New Roman"/>
                <w:color w:val="000000"/>
                <w:sz w:val="24"/>
                <w:szCs w:val="24"/>
                <w:lang w:val="en-US"/>
              </w:rPr>
              <w:t>, </w:t>
            </w:r>
            <w:proofErr w:type="spellStart"/>
            <w:r w:rsidRPr="00094ECD">
              <w:rPr>
                <w:rFonts w:ascii="Calibri" w:hAnsi="Calibri" w:cs="Times New Roman"/>
                <w:b/>
                <w:bCs/>
                <w:color w:val="000000"/>
                <w:sz w:val="24"/>
                <w:szCs w:val="24"/>
                <w:lang w:val="en-US"/>
              </w:rPr>
              <w:t>rekomenduojama</w:t>
            </w:r>
            <w:proofErr w:type="spellEnd"/>
            <w:r w:rsidRPr="00094ECD">
              <w:rPr>
                <w:rFonts w:ascii="Calibri" w:hAnsi="Calibri" w:cs="Times New Roman"/>
                <w:b/>
                <w:bCs/>
                <w:color w:val="000000"/>
                <w:sz w:val="24"/>
                <w:szCs w:val="24"/>
                <w:lang w:val="en-US"/>
              </w:rPr>
              <w:t xml:space="preserve"> </w:t>
            </w:r>
            <w:proofErr w:type="spellStart"/>
            <w:r w:rsidRPr="00094ECD">
              <w:rPr>
                <w:rFonts w:ascii="Calibri" w:hAnsi="Calibri" w:cs="Times New Roman"/>
                <w:b/>
                <w:bCs/>
                <w:color w:val="000000"/>
                <w:sz w:val="24"/>
                <w:szCs w:val="24"/>
                <w:lang w:val="en-US"/>
              </w:rPr>
              <w:t>nustatyti</w:t>
            </w:r>
            <w:proofErr w:type="spellEnd"/>
            <w:r w:rsidRPr="00094ECD">
              <w:rPr>
                <w:rFonts w:ascii="Calibri" w:hAnsi="Calibri" w:cs="Times New Roman"/>
                <w:color w:val="000000"/>
                <w:sz w:val="24"/>
                <w:szCs w:val="24"/>
                <w:lang w:val="en-US"/>
              </w:rPr>
              <w:t xml:space="preserve">, </w:t>
            </w:r>
            <w:proofErr w:type="spellStart"/>
            <w:r w:rsidRPr="00094ECD">
              <w:rPr>
                <w:rFonts w:ascii="Calibri" w:hAnsi="Calibri" w:cs="Times New Roman"/>
                <w:color w:val="000000"/>
                <w:sz w:val="24"/>
                <w:szCs w:val="24"/>
                <w:lang w:val="en-US"/>
              </w:rPr>
              <w:t>kad</w:t>
            </w:r>
            <w:proofErr w:type="spellEnd"/>
            <w:r w:rsidRPr="00094ECD">
              <w:rPr>
                <w:rFonts w:ascii="Calibri" w:hAnsi="Calibri" w:cs="Times New Roman"/>
                <w:color w:val="000000"/>
                <w:sz w:val="24"/>
                <w:szCs w:val="24"/>
                <w:lang w:val="en-US"/>
              </w:rPr>
              <w:t>:</w:t>
            </w:r>
          </w:p>
          <w:p w:rsidR="00094ECD" w:rsidRPr="00404E25" w:rsidRDefault="00094ECD" w:rsidP="00516DFD">
            <w:pPr>
              <w:shd w:val="clear" w:color="auto" w:fill="FFFFFF"/>
              <w:spacing w:after="200" w:line="276" w:lineRule="atLeast"/>
              <w:rPr>
                <w:rFonts w:cs="Arial"/>
                <w:color w:val="000000" w:themeColor="text1"/>
                <w:sz w:val="24"/>
                <w:szCs w:val="24"/>
              </w:rPr>
            </w:pPr>
            <w:r w:rsidRPr="00864B08">
              <w:rPr>
                <w:rFonts w:cs="Arial"/>
                <w:i/>
                <w:color w:val="000000" w:themeColor="text1"/>
                <w:sz w:val="24"/>
                <w:szCs w:val="24"/>
              </w:rPr>
              <w:t>Pagal šį kriterijų sumuojamos tik tos darbo sutartys, sudarytos su pameistrystės būdu apmokytais darbuotojais, kur</w:t>
            </w:r>
            <w:r w:rsidR="00912F36" w:rsidRPr="00864B08">
              <w:rPr>
                <w:rFonts w:cs="Arial"/>
                <w:i/>
                <w:color w:val="000000" w:themeColor="text1"/>
                <w:sz w:val="24"/>
                <w:szCs w:val="24"/>
              </w:rPr>
              <w:t xml:space="preserve"> darbo sutarčių </w:t>
            </w:r>
            <w:r w:rsidRPr="00864B08">
              <w:rPr>
                <w:rFonts w:cs="Arial"/>
                <w:i/>
                <w:color w:val="000000" w:themeColor="text1"/>
                <w:sz w:val="24"/>
                <w:szCs w:val="24"/>
              </w:rPr>
              <w:t>trukmė yra nemažesnė kaip 3 mėn. </w:t>
            </w:r>
            <w:r w:rsidR="000B1285" w:rsidRPr="00864B08">
              <w:rPr>
                <w:rFonts w:cs="Arial"/>
                <w:i/>
                <w:color w:val="000000" w:themeColor="text1"/>
                <w:sz w:val="24"/>
                <w:szCs w:val="24"/>
              </w:rPr>
              <w:t>ir kur</w:t>
            </w:r>
            <w:r w:rsidR="000B1285" w:rsidRPr="00864B08">
              <w:rPr>
                <w:rFonts w:cs="Arial"/>
                <w:i/>
                <w:color w:val="000000" w:themeColor="text1"/>
                <w:sz w:val="24"/>
                <w:szCs w:val="24"/>
              </w:rPr>
              <w:t xml:space="preserve"> darbuotojams</w:t>
            </w:r>
            <w:r w:rsidR="000B1285" w:rsidRPr="00864B08">
              <w:rPr>
                <w:rFonts w:cs="Arial"/>
                <w:i/>
                <w:color w:val="000000" w:themeColor="text1"/>
                <w:sz w:val="24"/>
                <w:szCs w:val="24"/>
              </w:rPr>
              <w:t xml:space="preserve"> būtų mokamas ne mažiau kaip</w:t>
            </w:r>
            <w:r w:rsidRPr="00864B08">
              <w:rPr>
                <w:rFonts w:cs="Arial"/>
                <w:i/>
                <w:color w:val="000000" w:themeColor="text1"/>
                <w:sz w:val="24"/>
                <w:szCs w:val="24"/>
              </w:rPr>
              <w:t> </w:t>
            </w:r>
            <w:r w:rsidR="000B1285" w:rsidRPr="00864B08">
              <w:rPr>
                <w:rFonts w:cs="Arial"/>
                <w:i/>
                <w:color w:val="000000" w:themeColor="text1"/>
                <w:sz w:val="24"/>
                <w:szCs w:val="24"/>
              </w:rPr>
              <w:t xml:space="preserve">vidutinis darbo užmokestis, mokamas EVRK 2 klasifikatoriaus </w:t>
            </w:r>
            <w:r w:rsidR="00516DFD">
              <w:rPr>
                <w:rFonts w:cs="Arial"/>
                <w:i/>
                <w:color w:val="000000" w:themeColor="text1"/>
                <w:sz w:val="24"/>
                <w:szCs w:val="24"/>
              </w:rPr>
              <w:t>atitinkamam</w:t>
            </w:r>
            <w:r w:rsidR="000B1285" w:rsidRPr="00864B08">
              <w:rPr>
                <w:rFonts w:cs="Arial"/>
                <w:i/>
                <w:color w:val="000000" w:themeColor="text1"/>
                <w:sz w:val="24"/>
                <w:szCs w:val="24"/>
              </w:rPr>
              <w:t xml:space="preserve"> skyriui priskiriamose įmonėse.</w:t>
            </w:r>
          </w:p>
        </w:tc>
      </w:tr>
    </w:tbl>
    <w:p w:rsidR="00EC3C44" w:rsidRDefault="00EC3C44" w:rsidP="00404E25">
      <w:pPr>
        <w:rPr>
          <w:color w:val="000000" w:themeColor="text1"/>
          <w:sz w:val="24"/>
          <w:szCs w:val="24"/>
        </w:rPr>
      </w:pPr>
    </w:p>
    <w:p w:rsidR="00404E25" w:rsidRPr="00404E25" w:rsidRDefault="00404E25" w:rsidP="00404E25">
      <w:pPr>
        <w:rPr>
          <w:color w:val="000000" w:themeColor="text1"/>
          <w:sz w:val="24"/>
          <w:szCs w:val="24"/>
        </w:rPr>
      </w:pPr>
    </w:p>
    <w:sectPr w:rsidR="00404E25" w:rsidRPr="00404E25" w:rsidSect="00995F39">
      <w:pgSz w:w="11906" w:h="16838"/>
      <w:pgMar w:top="993" w:right="424" w:bottom="851"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EUAlbertina-Regu">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195"/>
    <w:multiLevelType w:val="hybridMultilevel"/>
    <w:tmpl w:val="755229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E903EB"/>
    <w:multiLevelType w:val="hybridMultilevel"/>
    <w:tmpl w:val="BE1006C6"/>
    <w:lvl w:ilvl="0" w:tplc="DE4219EC">
      <w:start w:val="1"/>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69E10EF"/>
    <w:multiLevelType w:val="hybridMultilevel"/>
    <w:tmpl w:val="5010E7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3AA6A95"/>
    <w:multiLevelType w:val="hybridMultilevel"/>
    <w:tmpl w:val="CA7C721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B80964"/>
    <w:multiLevelType w:val="hybridMultilevel"/>
    <w:tmpl w:val="814007FE"/>
    <w:lvl w:ilvl="0" w:tplc="4AAAE680">
      <w:numFmt w:val="bullet"/>
      <w:lvlText w:val="-"/>
      <w:lvlJc w:val="left"/>
      <w:pPr>
        <w:ind w:left="720" w:hanging="360"/>
      </w:pPr>
      <w:rPr>
        <w:rFonts w:ascii="Calibri" w:eastAsia="Calibri" w:hAnsi="Calibri"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72FB53DE"/>
    <w:multiLevelType w:val="hybridMultilevel"/>
    <w:tmpl w:val="B890DB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as Leichteris">
    <w15:presenceInfo w15:providerId="None" w15:userId="Edgaras Leichte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1296"/>
  <w:hyphenationZone w:val="396"/>
  <w:characterSpacingControl w:val="doNotCompress"/>
  <w:compat/>
  <w:rsids>
    <w:rsidRoot w:val="00585E79"/>
    <w:rsid w:val="00022A46"/>
    <w:rsid w:val="000332C7"/>
    <w:rsid w:val="00087512"/>
    <w:rsid w:val="00094ECD"/>
    <w:rsid w:val="000B1285"/>
    <w:rsid w:val="000D180E"/>
    <w:rsid w:val="000E536B"/>
    <w:rsid w:val="000F1C1A"/>
    <w:rsid w:val="00134B93"/>
    <w:rsid w:val="001508EC"/>
    <w:rsid w:val="001A6E94"/>
    <w:rsid w:val="001B18C0"/>
    <w:rsid w:val="001E0EF3"/>
    <w:rsid w:val="0021036E"/>
    <w:rsid w:val="0023436D"/>
    <w:rsid w:val="002A21B8"/>
    <w:rsid w:val="0030187F"/>
    <w:rsid w:val="00332A21"/>
    <w:rsid w:val="003A7DC4"/>
    <w:rsid w:val="00404E25"/>
    <w:rsid w:val="00421E7D"/>
    <w:rsid w:val="00503E68"/>
    <w:rsid w:val="00516DFD"/>
    <w:rsid w:val="00585E79"/>
    <w:rsid w:val="00586DF4"/>
    <w:rsid w:val="00622AC8"/>
    <w:rsid w:val="007140C5"/>
    <w:rsid w:val="007B13B8"/>
    <w:rsid w:val="00801658"/>
    <w:rsid w:val="00836391"/>
    <w:rsid w:val="00864B08"/>
    <w:rsid w:val="008D6B4F"/>
    <w:rsid w:val="00912F36"/>
    <w:rsid w:val="00940AEE"/>
    <w:rsid w:val="00943204"/>
    <w:rsid w:val="00995F39"/>
    <w:rsid w:val="009F3E37"/>
    <w:rsid w:val="009F593E"/>
    <w:rsid w:val="00A263E9"/>
    <w:rsid w:val="00AB1803"/>
    <w:rsid w:val="00AD6008"/>
    <w:rsid w:val="00B2574B"/>
    <w:rsid w:val="00BA3A7B"/>
    <w:rsid w:val="00C73554"/>
    <w:rsid w:val="00D141DE"/>
    <w:rsid w:val="00D42780"/>
    <w:rsid w:val="00D44A55"/>
    <w:rsid w:val="00D55B31"/>
    <w:rsid w:val="00E5574C"/>
    <w:rsid w:val="00EB2980"/>
    <w:rsid w:val="00EC3C44"/>
    <w:rsid w:val="00ED3BF9"/>
    <w:rsid w:val="00F0155F"/>
    <w:rsid w:val="00F27488"/>
    <w:rsid w:val="00F83EEE"/>
    <w:rsid w:val="00FE12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DF4"/>
    <w:pPr>
      <w:ind w:left="720"/>
      <w:contextualSpacing/>
    </w:pPr>
  </w:style>
  <w:style w:type="character" w:styleId="Hyperlink">
    <w:name w:val="Hyperlink"/>
    <w:basedOn w:val="DefaultParagraphFont"/>
    <w:uiPriority w:val="99"/>
    <w:unhideWhenUsed/>
    <w:rsid w:val="00F0155F"/>
    <w:rPr>
      <w:color w:val="0000FF" w:themeColor="hyperlink"/>
      <w:u w:val="single"/>
    </w:rPr>
  </w:style>
  <w:style w:type="paragraph" w:customStyle="1" w:styleId="Default">
    <w:name w:val="Default"/>
    <w:rsid w:val="00940A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6B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B4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98833933">
      <w:bodyDiv w:val="1"/>
      <w:marLeft w:val="0"/>
      <w:marRight w:val="0"/>
      <w:marTop w:val="0"/>
      <w:marBottom w:val="0"/>
      <w:divBdr>
        <w:top w:val="none" w:sz="0" w:space="0" w:color="auto"/>
        <w:left w:val="none" w:sz="0" w:space="0" w:color="auto"/>
        <w:bottom w:val="none" w:sz="0" w:space="0" w:color="auto"/>
        <w:right w:val="none" w:sz="0" w:space="0" w:color="auto"/>
      </w:divBdr>
    </w:div>
    <w:div w:id="1550413965">
      <w:bodyDiv w:val="1"/>
      <w:marLeft w:val="0"/>
      <w:marRight w:val="0"/>
      <w:marTop w:val="0"/>
      <w:marBottom w:val="0"/>
      <w:divBdr>
        <w:top w:val="none" w:sz="0" w:space="0" w:color="auto"/>
        <w:left w:val="none" w:sz="0" w:space="0" w:color="auto"/>
        <w:bottom w:val="none" w:sz="0" w:space="0" w:color="auto"/>
        <w:right w:val="none" w:sz="0" w:space="0" w:color="auto"/>
      </w:divBdr>
    </w:div>
    <w:div w:id="1588952419">
      <w:bodyDiv w:val="1"/>
      <w:marLeft w:val="0"/>
      <w:marRight w:val="0"/>
      <w:marTop w:val="0"/>
      <w:marBottom w:val="0"/>
      <w:divBdr>
        <w:top w:val="none" w:sz="0" w:space="0" w:color="auto"/>
        <w:left w:val="none" w:sz="0" w:space="0" w:color="auto"/>
        <w:bottom w:val="none" w:sz="0" w:space="0" w:color="auto"/>
        <w:right w:val="none" w:sz="0" w:space="0" w:color="auto"/>
      </w:divBdr>
    </w:div>
    <w:div w:id="19879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A0BF6-0315-4A3F-B713-ABA081C2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5567</Words>
  <Characters>3174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jakubavicius</dc:creator>
  <cp:lastModifiedBy>jakubavicius</cp:lastModifiedBy>
  <cp:revision>3</cp:revision>
  <dcterms:created xsi:type="dcterms:W3CDTF">2016-02-11T05:53:00Z</dcterms:created>
  <dcterms:modified xsi:type="dcterms:W3CDTF">2016-02-11T05:54:00Z</dcterms:modified>
</cp:coreProperties>
</file>